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D86B" w14:textId="77777777" w:rsidR="00DD5D6A" w:rsidRDefault="00DD5D6A">
      <w:pPr>
        <w:jc w:val="center"/>
        <w:rPr>
          <w:sz w:val="20"/>
        </w:rPr>
      </w:pPr>
      <w:r>
        <w:rPr>
          <w:rFonts w:ascii="Times New Roman"/>
          <w:noProof/>
          <w:sz w:val="20"/>
        </w:rPr>
        <w:drawing>
          <wp:inline distT="0" distB="0" distL="0" distR="0" wp14:anchorId="2FC93E8D" wp14:editId="5671816F">
            <wp:extent cx="3840579" cy="70968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6" cstate="print"/>
                    <a:srcRect b="14425"/>
                    <a:stretch>
                      <a:fillRect/>
                    </a:stretch>
                  </pic:blipFill>
                  <pic:spPr bwMode="auto">
                    <a:xfrm>
                      <a:off x="0" y="0"/>
                      <a:ext cx="3842932" cy="710119"/>
                    </a:xfrm>
                    <a:prstGeom prst="rect">
                      <a:avLst/>
                    </a:prstGeom>
                    <a:ln>
                      <a:noFill/>
                    </a:ln>
                    <a:extLst>
                      <a:ext uri="{53640926-AAD7-44D8-BBD7-CCE9431645EC}">
                        <a14:shadowObscured xmlns:a14="http://schemas.microsoft.com/office/drawing/2010/main"/>
                      </a:ext>
                    </a:extLst>
                  </pic:spPr>
                </pic:pic>
              </a:graphicData>
            </a:graphic>
          </wp:inline>
        </w:drawing>
      </w:r>
    </w:p>
    <w:p w14:paraId="37521CBA" w14:textId="18307809" w:rsidR="00DD5D6A" w:rsidRPr="00DD5D6A" w:rsidRDefault="00124D17" w:rsidP="00DD5D6A">
      <w:pPr>
        <w:spacing w:after="0"/>
        <w:ind w:left="3600" w:firstLine="720"/>
        <w:rPr>
          <w:rFonts w:asciiTheme="majorHAnsi" w:hAnsiTheme="majorHAnsi" w:cstheme="majorHAnsi"/>
          <w:b/>
          <w:bCs/>
          <w:sz w:val="22"/>
        </w:rPr>
      </w:pPr>
      <w:r>
        <w:rPr>
          <w:rFonts w:asciiTheme="majorHAnsi" w:hAnsiTheme="majorHAnsi" w:cstheme="majorHAnsi"/>
          <w:b/>
          <w:bCs/>
          <w:sz w:val="22"/>
        </w:rPr>
        <w:t>Minutes</w:t>
      </w:r>
    </w:p>
    <w:p w14:paraId="418A8982" w14:textId="75076246" w:rsidR="000D28C0" w:rsidRPr="00DD5D6A" w:rsidRDefault="006F48CA" w:rsidP="00DD5D6A">
      <w:pPr>
        <w:spacing w:after="0"/>
        <w:jc w:val="center"/>
        <w:rPr>
          <w:rFonts w:asciiTheme="majorHAnsi" w:hAnsiTheme="majorHAnsi" w:cstheme="majorHAnsi"/>
          <w:sz w:val="22"/>
        </w:rPr>
      </w:pPr>
      <w:r w:rsidRPr="00DD5D6A">
        <w:rPr>
          <w:rFonts w:asciiTheme="majorHAnsi" w:hAnsiTheme="majorHAnsi" w:cstheme="majorHAnsi"/>
          <w:sz w:val="22"/>
        </w:rPr>
        <w:t xml:space="preserve">September 2, </w:t>
      </w:r>
      <w:proofErr w:type="gramStart"/>
      <w:r w:rsidRPr="00DD5D6A">
        <w:rPr>
          <w:rFonts w:asciiTheme="majorHAnsi" w:hAnsiTheme="majorHAnsi" w:cstheme="majorHAnsi"/>
          <w:sz w:val="22"/>
        </w:rPr>
        <w:t>2026</w:t>
      </w:r>
      <w:proofErr w:type="gramEnd"/>
      <w:r w:rsidRPr="00DD5D6A">
        <w:rPr>
          <w:rFonts w:asciiTheme="majorHAnsi" w:hAnsiTheme="majorHAnsi" w:cstheme="majorHAnsi"/>
          <w:sz w:val="22"/>
        </w:rPr>
        <w:t xml:space="preserve"> | 1:00–3:00 p.m. | Zoom</w:t>
      </w:r>
    </w:p>
    <w:p w14:paraId="73FCA31E" w14:textId="77777777" w:rsidR="00DD5D6A" w:rsidRPr="00DD5D6A" w:rsidRDefault="00DD5D6A" w:rsidP="00DD5D6A">
      <w:pPr>
        <w:pStyle w:val="BodyText"/>
        <w:spacing w:after="0"/>
        <w:ind w:left="4" w:right="5"/>
        <w:jc w:val="center"/>
        <w:rPr>
          <w:rFonts w:asciiTheme="majorHAnsi" w:hAnsiTheme="majorHAnsi" w:cstheme="majorHAnsi"/>
          <w:sz w:val="22"/>
        </w:rPr>
      </w:pPr>
      <w:r w:rsidRPr="00DD5D6A">
        <w:rPr>
          <w:rFonts w:asciiTheme="majorHAnsi" w:hAnsiTheme="majorHAnsi" w:cstheme="majorHAnsi"/>
          <w:sz w:val="22"/>
        </w:rPr>
        <w:t>Zoom:</w:t>
      </w:r>
      <w:r w:rsidRPr="00DD5D6A">
        <w:rPr>
          <w:rFonts w:asciiTheme="majorHAnsi" w:hAnsiTheme="majorHAnsi" w:cstheme="majorHAnsi"/>
          <w:spacing w:val="1"/>
          <w:sz w:val="22"/>
        </w:rPr>
        <w:t xml:space="preserve"> https://rsccd-edu.zoom.us/j/88508650003 </w:t>
      </w:r>
    </w:p>
    <w:p w14:paraId="27EE1732" w14:textId="77777777" w:rsidR="00DD5D6A" w:rsidRPr="00DD5D6A" w:rsidRDefault="00DD5D6A" w:rsidP="0095191D">
      <w:pPr>
        <w:spacing w:after="0"/>
        <w:jc w:val="center"/>
        <w:rPr>
          <w:rFonts w:ascii="Calibri" w:hAnsi="Calibri" w:cs="Calibri"/>
          <w:color w:val="000000" w:themeColor="text1"/>
          <w:sz w:val="22"/>
        </w:rPr>
      </w:pPr>
    </w:p>
    <w:p w14:paraId="571EBD9D" w14:textId="77777777" w:rsidR="00124D17" w:rsidRDefault="00124D17" w:rsidP="0095191D">
      <w:pPr>
        <w:spacing w:after="0"/>
        <w:ind w:left="-1" w:right="329"/>
        <w:rPr>
          <w:rFonts w:ascii="Calibri" w:hAnsi="Calibri" w:cs="Calibri"/>
          <w:color w:val="000000" w:themeColor="text1"/>
          <w:spacing w:val="-5"/>
          <w:sz w:val="22"/>
        </w:rPr>
      </w:pPr>
    </w:p>
    <w:p w14:paraId="7A9B392C" w14:textId="473A7F60" w:rsidR="00124D17" w:rsidRDefault="00124D17" w:rsidP="0095191D">
      <w:pPr>
        <w:spacing w:after="0"/>
        <w:ind w:left="-1" w:right="329"/>
        <w:rPr>
          <w:rFonts w:ascii="Calibri" w:hAnsi="Calibri" w:cs="Calibri"/>
          <w:b/>
          <w:bCs/>
          <w:color w:val="000000" w:themeColor="text1"/>
          <w:spacing w:val="-5"/>
          <w:sz w:val="22"/>
        </w:rPr>
      </w:pPr>
      <w:r w:rsidRPr="00124D17">
        <w:rPr>
          <w:rFonts w:ascii="Calibri" w:hAnsi="Calibri" w:cs="Calibri"/>
          <w:b/>
          <w:bCs/>
          <w:color w:val="000000" w:themeColor="text1"/>
          <w:spacing w:val="-5"/>
          <w:sz w:val="22"/>
        </w:rPr>
        <w:t xml:space="preserve">Attendees: </w:t>
      </w:r>
    </w:p>
    <w:tbl>
      <w:tblPr>
        <w:tblW w:w="10080" w:type="dxa"/>
        <w:tblInd w:w="108" w:type="dxa"/>
        <w:tblLook w:val="04A0" w:firstRow="1" w:lastRow="0" w:firstColumn="1" w:lastColumn="0" w:noHBand="0" w:noVBand="1"/>
      </w:tblPr>
      <w:tblGrid>
        <w:gridCol w:w="2400"/>
        <w:gridCol w:w="1860"/>
        <w:gridCol w:w="2260"/>
        <w:gridCol w:w="1780"/>
        <w:gridCol w:w="1780"/>
      </w:tblGrid>
      <w:tr w:rsidR="004F7454" w:rsidRPr="004F7454" w14:paraId="42216D1C" w14:textId="77777777" w:rsidTr="004F7454">
        <w:trPr>
          <w:trHeight w:val="300"/>
        </w:trPr>
        <w:tc>
          <w:tcPr>
            <w:tcW w:w="2400" w:type="dxa"/>
            <w:tcBorders>
              <w:top w:val="nil"/>
              <w:left w:val="nil"/>
              <w:bottom w:val="nil"/>
              <w:right w:val="nil"/>
            </w:tcBorders>
            <w:noWrap/>
            <w:vAlign w:val="bottom"/>
            <w:hideMark/>
          </w:tcPr>
          <w:p w14:paraId="71AFFEFE"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Annie Knight</w:t>
            </w:r>
          </w:p>
        </w:tc>
        <w:tc>
          <w:tcPr>
            <w:tcW w:w="1860" w:type="dxa"/>
            <w:tcBorders>
              <w:top w:val="nil"/>
              <w:left w:val="nil"/>
              <w:bottom w:val="nil"/>
              <w:right w:val="nil"/>
            </w:tcBorders>
            <w:noWrap/>
            <w:vAlign w:val="bottom"/>
            <w:hideMark/>
          </w:tcPr>
          <w:p w14:paraId="07D64685"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Jarek Janio</w:t>
            </w:r>
          </w:p>
        </w:tc>
        <w:tc>
          <w:tcPr>
            <w:tcW w:w="2260" w:type="dxa"/>
            <w:tcBorders>
              <w:top w:val="nil"/>
              <w:left w:val="nil"/>
              <w:bottom w:val="nil"/>
              <w:right w:val="nil"/>
            </w:tcBorders>
            <w:noWrap/>
            <w:vAlign w:val="bottom"/>
            <w:hideMark/>
          </w:tcPr>
          <w:p w14:paraId="425C13B0"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Vaniethia Hubbard</w:t>
            </w:r>
          </w:p>
        </w:tc>
        <w:tc>
          <w:tcPr>
            <w:tcW w:w="1780" w:type="dxa"/>
            <w:tcBorders>
              <w:top w:val="nil"/>
              <w:left w:val="nil"/>
              <w:bottom w:val="nil"/>
              <w:right w:val="nil"/>
            </w:tcBorders>
            <w:noWrap/>
            <w:vAlign w:val="bottom"/>
            <w:hideMark/>
          </w:tcPr>
          <w:p w14:paraId="616C29B1"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Juliana Saldivar</w:t>
            </w:r>
          </w:p>
        </w:tc>
        <w:tc>
          <w:tcPr>
            <w:tcW w:w="1780" w:type="dxa"/>
            <w:tcBorders>
              <w:top w:val="nil"/>
              <w:left w:val="nil"/>
              <w:bottom w:val="nil"/>
              <w:right w:val="nil"/>
            </w:tcBorders>
            <w:noWrap/>
            <w:vAlign w:val="bottom"/>
            <w:hideMark/>
          </w:tcPr>
          <w:p w14:paraId="0D885494"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Mike Everett</w:t>
            </w:r>
          </w:p>
        </w:tc>
      </w:tr>
      <w:tr w:rsidR="004F7454" w:rsidRPr="004F7454" w14:paraId="40111B85" w14:textId="77777777" w:rsidTr="004F7454">
        <w:trPr>
          <w:trHeight w:val="300"/>
        </w:trPr>
        <w:tc>
          <w:tcPr>
            <w:tcW w:w="2400" w:type="dxa"/>
            <w:tcBorders>
              <w:top w:val="nil"/>
              <w:left w:val="nil"/>
              <w:bottom w:val="nil"/>
              <w:right w:val="nil"/>
            </w:tcBorders>
            <w:noWrap/>
            <w:vAlign w:val="bottom"/>
            <w:hideMark/>
          </w:tcPr>
          <w:p w14:paraId="17639F9E"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Claire Coyne</w:t>
            </w:r>
          </w:p>
        </w:tc>
        <w:tc>
          <w:tcPr>
            <w:tcW w:w="1860" w:type="dxa"/>
            <w:tcBorders>
              <w:top w:val="nil"/>
              <w:left w:val="nil"/>
              <w:bottom w:val="nil"/>
              <w:right w:val="nil"/>
            </w:tcBorders>
            <w:noWrap/>
            <w:vAlign w:val="bottom"/>
            <w:hideMark/>
          </w:tcPr>
          <w:p w14:paraId="63EF3F12"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Jeremy Prim</w:t>
            </w:r>
          </w:p>
        </w:tc>
        <w:tc>
          <w:tcPr>
            <w:tcW w:w="2260" w:type="dxa"/>
            <w:tcBorders>
              <w:top w:val="nil"/>
              <w:left w:val="nil"/>
              <w:bottom w:val="nil"/>
              <w:right w:val="nil"/>
            </w:tcBorders>
            <w:noWrap/>
            <w:vAlign w:val="bottom"/>
            <w:hideMark/>
          </w:tcPr>
          <w:p w14:paraId="6C538B19" w14:textId="1169BB5F"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Jeffrey Lamb</w:t>
            </w:r>
          </w:p>
        </w:tc>
        <w:tc>
          <w:tcPr>
            <w:tcW w:w="1780" w:type="dxa"/>
            <w:tcBorders>
              <w:top w:val="nil"/>
              <w:left w:val="nil"/>
              <w:bottom w:val="nil"/>
              <w:right w:val="nil"/>
            </w:tcBorders>
            <w:noWrap/>
            <w:vAlign w:val="bottom"/>
            <w:hideMark/>
          </w:tcPr>
          <w:p w14:paraId="5C0C3E0F"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Kim Smith</w:t>
            </w:r>
          </w:p>
        </w:tc>
        <w:tc>
          <w:tcPr>
            <w:tcW w:w="1780" w:type="dxa"/>
            <w:tcBorders>
              <w:top w:val="nil"/>
              <w:left w:val="nil"/>
              <w:bottom w:val="nil"/>
              <w:right w:val="nil"/>
            </w:tcBorders>
            <w:noWrap/>
            <w:vAlign w:val="bottom"/>
            <w:hideMark/>
          </w:tcPr>
          <w:p w14:paraId="5CB5A894"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Paula Kincaid</w:t>
            </w:r>
          </w:p>
        </w:tc>
      </w:tr>
      <w:tr w:rsidR="004F7454" w:rsidRPr="004F7454" w14:paraId="5B95D6F1" w14:textId="77777777" w:rsidTr="004F7454">
        <w:trPr>
          <w:trHeight w:val="300"/>
        </w:trPr>
        <w:tc>
          <w:tcPr>
            <w:tcW w:w="2400" w:type="dxa"/>
            <w:tcBorders>
              <w:top w:val="nil"/>
              <w:left w:val="nil"/>
              <w:bottom w:val="nil"/>
              <w:right w:val="nil"/>
            </w:tcBorders>
            <w:noWrap/>
            <w:vAlign w:val="bottom"/>
            <w:hideMark/>
          </w:tcPr>
          <w:p w14:paraId="6B598A6A"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Cristina Miranda</w:t>
            </w:r>
          </w:p>
        </w:tc>
        <w:tc>
          <w:tcPr>
            <w:tcW w:w="1860" w:type="dxa"/>
            <w:tcBorders>
              <w:top w:val="nil"/>
              <w:left w:val="nil"/>
              <w:bottom w:val="nil"/>
              <w:right w:val="nil"/>
            </w:tcBorders>
            <w:noWrap/>
            <w:vAlign w:val="bottom"/>
            <w:hideMark/>
          </w:tcPr>
          <w:p w14:paraId="65200130"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Matthew Morin</w:t>
            </w:r>
          </w:p>
        </w:tc>
        <w:tc>
          <w:tcPr>
            <w:tcW w:w="2260" w:type="dxa"/>
            <w:tcBorders>
              <w:top w:val="nil"/>
              <w:left w:val="nil"/>
              <w:bottom w:val="nil"/>
              <w:right w:val="nil"/>
            </w:tcBorders>
            <w:noWrap/>
            <w:vAlign w:val="bottom"/>
            <w:hideMark/>
          </w:tcPr>
          <w:p w14:paraId="17DA71DF" w14:textId="7FF91363"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Jesus Miranda</w:t>
            </w:r>
          </w:p>
        </w:tc>
        <w:tc>
          <w:tcPr>
            <w:tcW w:w="1780" w:type="dxa"/>
            <w:tcBorders>
              <w:top w:val="nil"/>
              <w:left w:val="nil"/>
              <w:bottom w:val="nil"/>
              <w:right w:val="nil"/>
            </w:tcBorders>
            <w:noWrap/>
            <w:vAlign w:val="bottom"/>
            <w:hideMark/>
          </w:tcPr>
          <w:p w14:paraId="324F2CEA"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Maria Briseno</w:t>
            </w:r>
          </w:p>
        </w:tc>
        <w:tc>
          <w:tcPr>
            <w:tcW w:w="1780" w:type="dxa"/>
            <w:tcBorders>
              <w:top w:val="nil"/>
              <w:left w:val="nil"/>
              <w:bottom w:val="nil"/>
              <w:right w:val="nil"/>
            </w:tcBorders>
            <w:noWrap/>
            <w:vAlign w:val="bottom"/>
            <w:hideMark/>
          </w:tcPr>
          <w:p w14:paraId="227AC9A0" w14:textId="7C9BCC49"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Robert Stucken</w:t>
            </w:r>
          </w:p>
        </w:tc>
      </w:tr>
      <w:tr w:rsidR="004F7454" w:rsidRPr="004F7454" w14:paraId="5D270E16" w14:textId="77777777" w:rsidTr="004F7454">
        <w:trPr>
          <w:trHeight w:val="300"/>
        </w:trPr>
        <w:tc>
          <w:tcPr>
            <w:tcW w:w="2400" w:type="dxa"/>
            <w:tcBorders>
              <w:top w:val="nil"/>
              <w:left w:val="nil"/>
              <w:bottom w:val="nil"/>
              <w:right w:val="nil"/>
            </w:tcBorders>
            <w:noWrap/>
            <w:vAlign w:val="bottom"/>
            <w:hideMark/>
          </w:tcPr>
          <w:p w14:paraId="1E63B0E5"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Dawn McKenna-Sallade</w:t>
            </w:r>
          </w:p>
        </w:tc>
        <w:tc>
          <w:tcPr>
            <w:tcW w:w="1860" w:type="dxa"/>
            <w:tcBorders>
              <w:top w:val="nil"/>
              <w:left w:val="nil"/>
              <w:bottom w:val="nil"/>
              <w:right w:val="nil"/>
            </w:tcBorders>
            <w:noWrap/>
            <w:vAlign w:val="bottom"/>
            <w:hideMark/>
          </w:tcPr>
          <w:p w14:paraId="718616C2"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Parisa Samaie</w:t>
            </w:r>
          </w:p>
        </w:tc>
        <w:tc>
          <w:tcPr>
            <w:tcW w:w="2260" w:type="dxa"/>
            <w:tcBorders>
              <w:top w:val="nil"/>
              <w:left w:val="nil"/>
              <w:bottom w:val="nil"/>
              <w:right w:val="nil"/>
            </w:tcBorders>
            <w:noWrap/>
            <w:vAlign w:val="bottom"/>
            <w:hideMark/>
          </w:tcPr>
          <w:p w14:paraId="4023FAF3"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Gizelle Ponzillo</w:t>
            </w:r>
          </w:p>
        </w:tc>
        <w:tc>
          <w:tcPr>
            <w:tcW w:w="1780" w:type="dxa"/>
            <w:tcBorders>
              <w:top w:val="nil"/>
              <w:left w:val="nil"/>
              <w:bottom w:val="nil"/>
              <w:right w:val="nil"/>
            </w:tcBorders>
            <w:noWrap/>
            <w:vAlign w:val="bottom"/>
            <w:hideMark/>
          </w:tcPr>
          <w:p w14:paraId="3F5F1A76"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 xml:space="preserve">Mark Canett </w:t>
            </w:r>
          </w:p>
        </w:tc>
        <w:tc>
          <w:tcPr>
            <w:tcW w:w="1780" w:type="dxa"/>
            <w:tcBorders>
              <w:top w:val="nil"/>
              <w:left w:val="nil"/>
              <w:bottom w:val="nil"/>
              <w:right w:val="nil"/>
            </w:tcBorders>
            <w:noWrap/>
            <w:vAlign w:val="bottom"/>
            <w:hideMark/>
          </w:tcPr>
          <w:p w14:paraId="3E870712"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Sherry Guler</w:t>
            </w:r>
          </w:p>
        </w:tc>
      </w:tr>
      <w:tr w:rsidR="004F7454" w:rsidRPr="004F7454" w14:paraId="5AFB0D90" w14:textId="77777777" w:rsidTr="004F7454">
        <w:trPr>
          <w:trHeight w:val="306"/>
        </w:trPr>
        <w:tc>
          <w:tcPr>
            <w:tcW w:w="2400" w:type="dxa"/>
            <w:tcBorders>
              <w:top w:val="nil"/>
              <w:left w:val="nil"/>
              <w:bottom w:val="nil"/>
              <w:right w:val="nil"/>
            </w:tcBorders>
            <w:noWrap/>
            <w:vAlign w:val="bottom"/>
            <w:hideMark/>
          </w:tcPr>
          <w:p w14:paraId="3E5445F2"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Andrew H. Manson</w:t>
            </w:r>
          </w:p>
        </w:tc>
        <w:tc>
          <w:tcPr>
            <w:tcW w:w="1860" w:type="dxa"/>
            <w:tcBorders>
              <w:top w:val="nil"/>
              <w:left w:val="nil"/>
              <w:bottom w:val="nil"/>
              <w:right w:val="nil"/>
            </w:tcBorders>
            <w:noWrap/>
            <w:vAlign w:val="bottom"/>
            <w:hideMark/>
          </w:tcPr>
          <w:p w14:paraId="420C3A98"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Dr. Saeid Eidgahy</w:t>
            </w:r>
          </w:p>
        </w:tc>
        <w:tc>
          <w:tcPr>
            <w:tcW w:w="2260" w:type="dxa"/>
            <w:tcBorders>
              <w:top w:val="nil"/>
              <w:left w:val="nil"/>
              <w:bottom w:val="nil"/>
              <w:right w:val="nil"/>
            </w:tcBorders>
            <w:noWrap/>
            <w:vAlign w:val="bottom"/>
            <w:hideMark/>
          </w:tcPr>
          <w:p w14:paraId="6A309F59"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Jennifer Valencia</w:t>
            </w:r>
          </w:p>
        </w:tc>
        <w:tc>
          <w:tcPr>
            <w:tcW w:w="1780" w:type="dxa"/>
            <w:tcBorders>
              <w:top w:val="nil"/>
              <w:left w:val="nil"/>
              <w:bottom w:val="nil"/>
              <w:right w:val="nil"/>
            </w:tcBorders>
            <w:noWrap/>
            <w:vAlign w:val="bottom"/>
            <w:hideMark/>
          </w:tcPr>
          <w:p w14:paraId="665E1A22"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Mark Turner</w:t>
            </w:r>
          </w:p>
        </w:tc>
        <w:tc>
          <w:tcPr>
            <w:tcW w:w="1780" w:type="dxa"/>
            <w:tcBorders>
              <w:top w:val="nil"/>
              <w:left w:val="nil"/>
              <w:bottom w:val="nil"/>
              <w:right w:val="nil"/>
            </w:tcBorders>
            <w:noWrap/>
            <w:vAlign w:val="bottom"/>
            <w:hideMark/>
          </w:tcPr>
          <w:p w14:paraId="431D6D68" w14:textId="77777777" w:rsidR="004F7454" w:rsidRPr="004F7454" w:rsidRDefault="004F7454" w:rsidP="004F7454">
            <w:pPr>
              <w:spacing w:after="0" w:line="240" w:lineRule="auto"/>
              <w:rPr>
                <w:rFonts w:ascii="Aptos Narrow" w:eastAsia="Times New Roman" w:hAnsi="Aptos Narrow" w:cs="Times New Roman"/>
                <w:color w:val="000000"/>
                <w:sz w:val="22"/>
              </w:rPr>
            </w:pPr>
            <w:r w:rsidRPr="004F7454">
              <w:rPr>
                <w:rFonts w:ascii="Aptos Narrow" w:eastAsia="Times New Roman" w:hAnsi="Aptos Narrow" w:cs="Times New Roman"/>
                <w:color w:val="000000"/>
                <w:sz w:val="22"/>
              </w:rPr>
              <w:t>Tim Sechang</w:t>
            </w:r>
          </w:p>
        </w:tc>
      </w:tr>
    </w:tbl>
    <w:p w14:paraId="1B0F9DC3" w14:textId="77777777" w:rsidR="004F7454" w:rsidRPr="00124D17" w:rsidRDefault="004F7454" w:rsidP="0095191D">
      <w:pPr>
        <w:spacing w:after="0"/>
        <w:ind w:left="-1" w:right="329"/>
        <w:rPr>
          <w:rFonts w:ascii="Calibri" w:hAnsi="Calibri" w:cs="Calibri"/>
          <w:b/>
          <w:bCs/>
          <w:color w:val="000000" w:themeColor="text1"/>
          <w:spacing w:val="-5"/>
          <w:sz w:val="22"/>
        </w:rPr>
      </w:pPr>
    </w:p>
    <w:p w14:paraId="358D98E7" w14:textId="77777777" w:rsidR="000D28C0" w:rsidRPr="00DD5D6A" w:rsidRDefault="006F48CA">
      <w:pPr>
        <w:pStyle w:val="Heading1"/>
        <w:rPr>
          <w:rFonts w:ascii="Calibri" w:hAnsi="Calibri" w:cs="Calibri"/>
          <w:color w:val="000000" w:themeColor="text1"/>
          <w:sz w:val="22"/>
          <w:szCs w:val="22"/>
        </w:rPr>
      </w:pPr>
      <w:r w:rsidRPr="00DD5D6A">
        <w:rPr>
          <w:rFonts w:ascii="Calibri" w:hAnsi="Calibri" w:cs="Calibri"/>
          <w:color w:val="000000" w:themeColor="text1"/>
          <w:sz w:val="22"/>
          <w:szCs w:val="22"/>
        </w:rPr>
        <w:t>1. Action Items</w:t>
      </w:r>
    </w:p>
    <w:p w14:paraId="142F9CE1"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a) Approval of Agenda for September 2, 2026</w:t>
      </w:r>
    </w:p>
    <w:p w14:paraId="01A217BE" w14:textId="7A5740C3"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 xml:space="preserve">The agenda was presented for approval. Andrew Manson moved to approve and Saeid Eidgahy seconded. </w:t>
      </w:r>
      <w:r w:rsidR="004F7454">
        <w:rPr>
          <w:rFonts w:ascii="Calibri" w:hAnsi="Calibri" w:cs="Calibri"/>
          <w:color w:val="000000" w:themeColor="text1"/>
          <w:sz w:val="22"/>
        </w:rPr>
        <w:t>Agenda approved.</w:t>
      </w:r>
    </w:p>
    <w:p w14:paraId="427589BF"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b) Approval of Minutes from May 6, 2026</w:t>
      </w:r>
    </w:p>
    <w:p w14:paraId="3232474B" w14:textId="547CCE13" w:rsidR="000D28C0" w:rsidRPr="00DD5D6A" w:rsidRDefault="004F7454">
      <w:pPr>
        <w:rPr>
          <w:rFonts w:ascii="Calibri" w:hAnsi="Calibri" w:cs="Calibri"/>
          <w:color w:val="000000" w:themeColor="text1"/>
          <w:sz w:val="22"/>
        </w:rPr>
      </w:pPr>
      <w:r w:rsidRPr="00DD5D6A">
        <w:rPr>
          <w:rFonts w:ascii="Calibri" w:hAnsi="Calibri" w:cs="Calibri"/>
          <w:color w:val="000000" w:themeColor="text1"/>
          <w:sz w:val="22"/>
        </w:rPr>
        <w:t>May</w:t>
      </w:r>
      <w:r w:rsidR="006F48CA" w:rsidRPr="00DD5D6A">
        <w:rPr>
          <w:rFonts w:ascii="Calibri" w:hAnsi="Calibri" w:cs="Calibri"/>
          <w:color w:val="000000" w:themeColor="text1"/>
          <w:sz w:val="22"/>
        </w:rPr>
        <w:t xml:space="preserve"> 6, </w:t>
      </w:r>
      <w:r w:rsidRPr="00DD5D6A">
        <w:rPr>
          <w:rFonts w:ascii="Calibri" w:hAnsi="Calibri" w:cs="Calibri"/>
          <w:color w:val="000000" w:themeColor="text1"/>
          <w:sz w:val="22"/>
        </w:rPr>
        <w:t>2026,</w:t>
      </w:r>
      <w:r w:rsidR="006F48CA" w:rsidRPr="00DD5D6A">
        <w:rPr>
          <w:rFonts w:ascii="Calibri" w:hAnsi="Calibri" w:cs="Calibri"/>
          <w:color w:val="000000" w:themeColor="text1"/>
          <w:sz w:val="22"/>
        </w:rPr>
        <w:t xml:space="preserve"> minutes were presented for approval. </w:t>
      </w:r>
      <w:r>
        <w:rPr>
          <w:rFonts w:ascii="Calibri" w:hAnsi="Calibri" w:cs="Calibri"/>
          <w:color w:val="000000" w:themeColor="text1"/>
          <w:sz w:val="22"/>
        </w:rPr>
        <w:t>M</w:t>
      </w:r>
      <w:r w:rsidR="006F48CA" w:rsidRPr="00DD5D6A">
        <w:rPr>
          <w:rFonts w:ascii="Calibri" w:hAnsi="Calibri" w:cs="Calibri"/>
          <w:color w:val="000000" w:themeColor="text1"/>
          <w:sz w:val="22"/>
        </w:rPr>
        <w:t>inutes were approved</w:t>
      </w:r>
      <w:r>
        <w:rPr>
          <w:rFonts w:ascii="Calibri" w:hAnsi="Calibri" w:cs="Calibri"/>
          <w:color w:val="000000" w:themeColor="text1"/>
          <w:sz w:val="22"/>
        </w:rPr>
        <w:t xml:space="preserve"> with abstentions. </w:t>
      </w:r>
    </w:p>
    <w:p w14:paraId="4DE5E48F"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c) Integrated Resource Allocation Process (IRAP) – Second Read</w:t>
      </w:r>
    </w:p>
    <w:p w14:paraId="077E1366"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reviewed the revised IRAP. The classified professional prioritization process requested previously is still being developed and therefore was not incorporated into this iteration. The IRAP timeline does, however, identify September–October for classified professionals to begin department-level prioritization.</w:t>
      </w:r>
    </w:p>
    <w:p w14:paraId="0ABAF48B"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committee discussed wording in the Program Review overview. Members agreed that “framework” more accurately describes the relationship among integrated reports, committees, and tools than “system.”</w:t>
      </w:r>
    </w:p>
    <w:p w14:paraId="41442CB9"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committee noted that the IRAP is intended to function as a living document that can be updated as processes change.</w:t>
      </w:r>
    </w:p>
    <w:p w14:paraId="6F747FD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Members discussed where the IRAP should be housed so it can be used as a reference for governance and decision-making; the Governance Handbook was identified as an appropriate location, with possible usefulness in future chair/administrator reference materials.</w:t>
      </w:r>
    </w:p>
    <w:p w14:paraId="63590B48"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IRAP was approved as amended after a motion by Robert Stucken and a second by Mark Turner.</w:t>
      </w:r>
    </w:p>
    <w:p w14:paraId="6A12C190"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d) SAC Participatory Governance Handbook Update – Second Read</w:t>
      </w:r>
    </w:p>
    <w:p w14:paraId="6C98AD8B"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reviewed an updated version of the Participatory Governance Handbook. The version previously circulated was outdated in several areas; an updated version from the PIO office was posted to the IE&amp;A Teams site for review.</w:t>
      </w:r>
    </w:p>
    <w:p w14:paraId="38468D7B"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lastRenderedPageBreak/>
        <w:t>The governance chart needs corrections, including removal of the duplicate Professional Learning/PD Council reference and updates reflecting Enrollment Management as its own reporting committee.</w:t>
      </w:r>
    </w:p>
    <w:p w14:paraId="05AE7563"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subcommittee name should be “Outcomes and Assessment Committee.”</w:t>
      </w:r>
    </w:p>
    <w:p w14:paraId="10DA184E"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Guided Pathways/Student Equity structure and related terminology need to be updated.</w:t>
      </w:r>
    </w:p>
    <w:p w14:paraId="19E32ACD"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Sections for classified professionals and student government remain placeholders while those groups finalize their shared-governance statements/processes.</w:t>
      </w:r>
    </w:p>
    <w:p w14:paraId="4BE0AD52"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Enrollment Management Committee description remains pending final College Council action and should be noted as such.</w:t>
      </w:r>
    </w:p>
    <w:p w14:paraId="0565EF38"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 xml:space="preserve">The committee discussed the need to clarify Brown Act </w:t>
      </w:r>
      <w:proofErr w:type="gramStart"/>
      <w:r w:rsidRPr="00DD5D6A">
        <w:rPr>
          <w:rFonts w:ascii="Calibri" w:hAnsi="Calibri" w:cs="Calibri"/>
          <w:color w:val="000000" w:themeColor="text1"/>
          <w:sz w:val="22"/>
        </w:rPr>
        <w:t>language</w:t>
      </w:r>
      <w:proofErr w:type="gramEnd"/>
      <w:r w:rsidRPr="00DD5D6A">
        <w:rPr>
          <w:rFonts w:ascii="Calibri" w:hAnsi="Calibri" w:cs="Calibri"/>
          <w:color w:val="000000" w:themeColor="text1"/>
          <w:sz w:val="22"/>
        </w:rPr>
        <w:t xml:space="preserve"> so readers understand which bodies are legally subject to the Brown Act versus committees that follow Brown Act practices as </w:t>
      </w:r>
      <w:proofErr w:type="gramStart"/>
      <w:r w:rsidRPr="00DD5D6A">
        <w:rPr>
          <w:rFonts w:ascii="Calibri" w:hAnsi="Calibri" w:cs="Calibri"/>
          <w:color w:val="000000" w:themeColor="text1"/>
          <w:sz w:val="22"/>
        </w:rPr>
        <w:t>a best</w:t>
      </w:r>
      <w:proofErr w:type="gramEnd"/>
      <w:r w:rsidRPr="00DD5D6A">
        <w:rPr>
          <w:rFonts w:ascii="Calibri" w:hAnsi="Calibri" w:cs="Calibri"/>
          <w:color w:val="000000" w:themeColor="text1"/>
          <w:sz w:val="22"/>
        </w:rPr>
        <w:t xml:space="preserve"> practice. A prior district counsel interpretation may help inform the language.</w:t>
      </w:r>
    </w:p>
    <w:p w14:paraId="3296F550" w14:textId="107B92AF"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 xml:space="preserve">Members requested access to the </w:t>
      </w:r>
      <w:r w:rsidR="00DC513C" w:rsidRPr="00DD5D6A">
        <w:rPr>
          <w:rFonts w:ascii="Calibri" w:hAnsi="Calibri" w:cs="Calibri"/>
          <w:color w:val="000000" w:themeColor="text1"/>
          <w:sz w:val="22"/>
        </w:rPr>
        <w:t>red line</w:t>
      </w:r>
      <w:r w:rsidRPr="00DD5D6A">
        <w:rPr>
          <w:rFonts w:ascii="Calibri" w:hAnsi="Calibri" w:cs="Calibri"/>
          <w:color w:val="000000" w:themeColor="text1"/>
          <w:sz w:val="22"/>
        </w:rPr>
        <w:t xml:space="preserve"> version so they can better identify changes and suggested that College Council also receive it if appropriate.</w:t>
      </w:r>
    </w:p>
    <w:p w14:paraId="644DB9DA"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committee discussed establishing an annual review of the handbook, with a possible more significant review on a longer cycle. The exact longer-cycle interval was not decided.</w:t>
      </w:r>
    </w:p>
    <w:p w14:paraId="14DFDE74"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did not finalize approval at this meeting. The document will remain available in Teams for review and feedback, with September 25 identified as the target date for comments so revisions can be incorporated before the October 7 meeting.</w:t>
      </w:r>
    </w:p>
    <w:p w14:paraId="6B65BE16"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e) Accreditation Subcommittee Charge and Membership Revisions – Second Read</w:t>
      </w:r>
    </w:p>
    <w:p w14:paraId="393A49CE"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discussed whether the Accreditation Subcommittee should continue as a standing subcommittee or instead operate as a flexible accreditation work group. Discussion centered on the original intent: maintaining a culture of accreditation and continuous quality improvement between accreditation reporting cycles, rather than creating a group whose sole purpose is to write the accreditation report.</w:t>
      </w:r>
    </w:p>
    <w:p w14:paraId="0C2E2866" w14:textId="1ECCF753"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accreditation work itself will proceed under the Accreditation Liaison Officer (ALO), Jeff</w:t>
      </w:r>
      <w:r w:rsidR="00DD5D6A">
        <w:rPr>
          <w:rFonts w:ascii="Calibri" w:hAnsi="Calibri" w:cs="Calibri"/>
          <w:color w:val="000000" w:themeColor="text1"/>
          <w:sz w:val="22"/>
        </w:rPr>
        <w:t>rey</w:t>
      </w:r>
      <w:r w:rsidRPr="00DD5D6A">
        <w:rPr>
          <w:rFonts w:ascii="Calibri" w:hAnsi="Calibri" w:cs="Calibri"/>
          <w:color w:val="000000" w:themeColor="text1"/>
          <w:sz w:val="22"/>
        </w:rPr>
        <w:t xml:space="preserve"> Lamb, including development of the infrastructure and work needed for the next accreditation report.</w:t>
      </w:r>
    </w:p>
    <w:p w14:paraId="61D08C3F"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proposed standing subcommittee had not generated sufficient ongoing activity in its prior form and had effectively lost momentum.</w:t>
      </w:r>
    </w:p>
    <w:p w14:paraId="18A139C3"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Members noted that accreditation work is cyclical: it becomes intensive near report preparation and then shifts into maintenance/continuous-improvement work after an accreditation action.</w:t>
      </w:r>
    </w:p>
    <w:p w14:paraId="7C319E64"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If the subcommittee is reinvigorated later, membership should provide appropriate institutional expertise, including research, enrollment management, distance education, noncredit/continuing education, curriculum, and expertise related to the accreditation standards. District participation may be useful as a liaison/resource when appropriate.</w:t>
      </w:r>
    </w:p>
    <w:p w14:paraId="1696572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Annie Knight emphasized that future work would benefit from clear annual benchmarks and deliverables established far enough in advance for participants to plan and obtain needed input.</w:t>
      </w:r>
    </w:p>
    <w:p w14:paraId="2099E0D0"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ALO will provide regular accreditation updates to IE&amp;A and may use work sessions or other flexible engagement structures to bring additional voices into the work.</w:t>
      </w:r>
    </w:p>
    <w:p w14:paraId="4A52522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committee also discussed responsible use of AI as an accreditation support tool, including keeping human review and judgment in the process.</w:t>
      </w:r>
    </w:p>
    <w:p w14:paraId="53263353" w14:textId="13393FE1"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 xml:space="preserve">Decision: The Accreditation Subcommittee was placed on hiatus until a future point when there is sufficient momentum or a demonstrated need to reactivate it. </w:t>
      </w:r>
      <w:r w:rsidR="00CF56BE">
        <w:rPr>
          <w:rFonts w:ascii="Calibri" w:hAnsi="Calibri" w:cs="Calibri"/>
          <w:color w:val="000000" w:themeColor="text1"/>
          <w:sz w:val="22"/>
        </w:rPr>
        <w:t xml:space="preserve">Dr. </w:t>
      </w:r>
      <w:r w:rsidRPr="00DD5D6A">
        <w:rPr>
          <w:rFonts w:ascii="Calibri" w:hAnsi="Calibri" w:cs="Calibri"/>
          <w:color w:val="000000" w:themeColor="text1"/>
          <w:sz w:val="22"/>
        </w:rPr>
        <w:t>Jeff</w:t>
      </w:r>
      <w:r w:rsidR="00CF56BE">
        <w:rPr>
          <w:rFonts w:ascii="Calibri" w:hAnsi="Calibri" w:cs="Calibri"/>
          <w:color w:val="000000" w:themeColor="text1"/>
          <w:sz w:val="22"/>
        </w:rPr>
        <w:t>rey</w:t>
      </w:r>
      <w:r w:rsidRPr="00DD5D6A">
        <w:rPr>
          <w:rFonts w:ascii="Calibri" w:hAnsi="Calibri" w:cs="Calibri"/>
          <w:color w:val="000000" w:themeColor="text1"/>
          <w:sz w:val="22"/>
        </w:rPr>
        <w:t xml:space="preserve"> Lamb will provide an accreditation update at the next IE&amp;A meeting.</w:t>
      </w:r>
    </w:p>
    <w:p w14:paraId="7B8BE7D7"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lastRenderedPageBreak/>
        <w:t>f) Annual Planning Calendar – Second Read</w:t>
      </w:r>
    </w:p>
    <w:p w14:paraId="414A2A80"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reviewed a streamlined version of the annual planning calendar. The revised version consolidates information into one tab and is intended to be easier to use than the prior, more detailed version.</w:t>
      </w:r>
    </w:p>
    <w:p w14:paraId="554D5308"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calendar will be circulated to other major governance committees, including Facilities and Technology, Planning and Budget, and Enrollment Management, to verify dates/processes and identify missing planning activities.</w:t>
      </w:r>
    </w:p>
    <w:p w14:paraId="12772E47"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Members discussed using the calendar both for transparency to the college community and as a coordination tool for governance committees.</w:t>
      </w:r>
    </w:p>
    <w:p w14:paraId="01372181"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committee discussed whether “prioritization” should be clarified as personnel requests; the wording was revised toward “personnel requests.”</w:t>
      </w:r>
    </w:p>
    <w:p w14:paraId="3B0CFED2"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Members discussed adding curriculum deadlines if useful and ensuring that the calendar includes the major planning/reporting cycles that committees need to understand.</w:t>
      </w:r>
    </w:p>
    <w:p w14:paraId="7C989787"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Program Review and resource allocation should be represented together as the Institutional Resource Allocation Process (IRAP), rather than as two unrelated planning activities.</w:t>
      </w:r>
    </w:p>
    <w:p w14:paraId="04FA082A"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calendar is intended to help the college see how planning cycles intersect and to keep committees aware of upcoming work and dependencies.</w:t>
      </w:r>
    </w:p>
    <w:p w14:paraId="0717D8F3"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item was tabled for continued review and a third read. September 25 was identified as the target date for additional feedback.</w:t>
      </w:r>
    </w:p>
    <w:p w14:paraId="38EAA3C4" w14:textId="77777777" w:rsidR="000D28C0" w:rsidRPr="00DD5D6A" w:rsidRDefault="006F48CA">
      <w:pPr>
        <w:pStyle w:val="Heading1"/>
        <w:rPr>
          <w:rFonts w:ascii="Calibri" w:hAnsi="Calibri" w:cs="Calibri"/>
          <w:color w:val="000000" w:themeColor="text1"/>
          <w:sz w:val="22"/>
          <w:szCs w:val="22"/>
        </w:rPr>
      </w:pPr>
      <w:r w:rsidRPr="00DD5D6A">
        <w:rPr>
          <w:rFonts w:ascii="Calibri" w:hAnsi="Calibri" w:cs="Calibri"/>
          <w:color w:val="000000" w:themeColor="text1"/>
          <w:sz w:val="22"/>
          <w:szCs w:val="22"/>
        </w:rPr>
        <w:t>2. Information/Discussion Items</w:t>
      </w:r>
    </w:p>
    <w:p w14:paraId="1C99669B"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a) 2026/2027 Membership</w:t>
      </w:r>
    </w:p>
    <w:p w14:paraId="4401F7F7"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committee reviewed current membership and vacancies. The incoming Associate Dean of Research, Institutional Effectiveness and Planning is expected to serve as Administrative Co-Chair. Vacancies remain in Student Services leadership/faculty representation, an Academic Affairs classified professional representative, and a student/ASG representative. A Program Review representative is also being sought as a non-voting resource who can provide reports. The Accreditation Subcommittee hiatus means accreditati</w:t>
      </w:r>
      <w:r w:rsidRPr="00DD5D6A">
        <w:rPr>
          <w:rFonts w:ascii="Calibri" w:hAnsi="Calibri" w:cs="Calibri"/>
          <w:color w:val="000000" w:themeColor="text1"/>
          <w:sz w:val="22"/>
        </w:rPr>
        <w:t>on reporting will come directly from the ALO.</w:t>
      </w:r>
    </w:p>
    <w:p w14:paraId="1A92864A"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Follow-up: Dr. Vaniethia Hubbard will provide an update on the Student Services Dean appointment before the next meeting. Other appointment outreach will continue.</w:t>
      </w:r>
    </w:p>
    <w:p w14:paraId="02368A45"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b) IE&amp;A 2026–27 Work Plan and Annual Cycle</w:t>
      </w:r>
    </w:p>
    <w:p w14:paraId="01633430"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work plan was presented as a practical annual cycle based on the President’s vision discussed at the February 23 meeting and on the committee’s current responsibilities. It is intended to guide IE&amp;A’s work across the academic year rather than serve as an action requiring formal approval.</w:t>
      </w:r>
    </w:p>
    <w:p w14:paraId="55D5D4FA"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Fall: review governance orientation feedback; review annual and long-term planning calendars; receive governance committee goals and assess alignment with the Comprehensive Educational Plan (CEP); identify plans requiring evaluation; begin research/content analysis for plans due for review; receive Student Equity Plan implementation updates; monitor CEP KPIs; and coordinate pathways for monitoring CEP goal progress.</w:t>
      </w:r>
    </w:p>
    <w:p w14:paraId="07586CDC"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Spring: verify completion of program reviews; collect/review annual governance committee self-assessments; evaluate planning and prioritization processes; and develop recommendations to College Council based on the year’s review.</w:t>
      </w:r>
    </w:p>
    <w:p w14:paraId="6654E5D2"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lastRenderedPageBreak/>
        <w:t>The committee agreed that the plan provides a useful guide for the upcoming year and can be reviewed and updated annually.</w:t>
      </w:r>
    </w:p>
    <w:p w14:paraId="6201A871"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c) Plan Evaluation Cycle: Identify Institutional Plans for 2026–27 Review</w:t>
      </w:r>
    </w:p>
    <w:p w14:paraId="74A7DA41"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 xml:space="preserve">The committee reviewed the integrated planning calendar to determine which institutional </w:t>
      </w:r>
      <w:proofErr w:type="gramStart"/>
      <w:r w:rsidRPr="00DD5D6A">
        <w:rPr>
          <w:rFonts w:ascii="Calibri" w:hAnsi="Calibri" w:cs="Calibri"/>
          <w:color w:val="000000" w:themeColor="text1"/>
          <w:sz w:val="22"/>
        </w:rPr>
        <w:t>plans</w:t>
      </w:r>
      <w:proofErr w:type="gramEnd"/>
      <w:r w:rsidRPr="00DD5D6A">
        <w:rPr>
          <w:rFonts w:ascii="Calibri" w:hAnsi="Calibri" w:cs="Calibri"/>
          <w:color w:val="000000" w:themeColor="text1"/>
          <w:sz w:val="22"/>
        </w:rPr>
        <w:t xml:space="preserve"> and planning activities should be tracked during the 2026–27 cycle.</w:t>
      </w:r>
    </w:p>
    <w:p w14:paraId="666CDC5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Enrollment Management Committee was asked to review and approve a new plan if it intends to extend its existing plan for another year.</w:t>
      </w:r>
    </w:p>
    <w:p w14:paraId="794D984B"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 xml:space="preserve">The prior Integrated Plan for Basic Skills, Student Equity, and Student Success </w:t>
      </w:r>
      <w:proofErr w:type="gramStart"/>
      <w:r w:rsidRPr="00DD5D6A">
        <w:rPr>
          <w:rFonts w:ascii="Calibri" w:hAnsi="Calibri" w:cs="Calibri"/>
          <w:color w:val="000000" w:themeColor="text1"/>
          <w:sz w:val="22"/>
        </w:rPr>
        <w:t>was</w:t>
      </w:r>
      <w:proofErr w:type="gramEnd"/>
      <w:r w:rsidRPr="00DD5D6A">
        <w:rPr>
          <w:rFonts w:ascii="Calibri" w:hAnsi="Calibri" w:cs="Calibri"/>
          <w:color w:val="000000" w:themeColor="text1"/>
          <w:sz w:val="22"/>
        </w:rPr>
        <w:t xml:space="preserve"> identified as an older compliance report that is now subsumed within the Student Equity Plan and can be removed from the tracking list.</w:t>
      </w:r>
    </w:p>
    <w:p w14:paraId="30D8794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Members suggested adding the Participatory Governance Handbook review to the tracking calendar even though it is not technically a plan.</w:t>
      </w:r>
    </w:p>
    <w:p w14:paraId="7BB12800"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CEP remains on track. The Integrated Technology Plan is also reportedly ahead of schedule.</w:t>
      </w:r>
    </w:p>
    <w:p w14:paraId="56588355"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Institutional Learning Outcomes (ILOs) are being revised by the ILO committee. The target is to complete the revision during the semester, followed by required approvals; the timeline may need adjustment if the committee determines it cannot be met.</w:t>
      </w:r>
    </w:p>
    <w:p w14:paraId="1CB32D1F"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Facilities Master Plan requires follow-up with Facilities and Safety.</w:t>
      </w:r>
    </w:p>
    <w:p w14:paraId="20D6BE8D"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status/existence of a college-level CTEA plan and Strong Workforce plan needs confirmation. Reporting occurs in these areas, but the transcript did not establish that a forward-looking college plan exists.</w:t>
      </w:r>
    </w:p>
    <w:p w14:paraId="6958FB37"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The college does not currently have a separate Strategic Master Plan; discussion indicated that the CEP serves the broader long-term planning function. The committee identified the Strategic Master Plan for possible removal from the long-term calendar.</w:t>
      </w:r>
    </w:p>
    <w:p w14:paraId="15AA5E93"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Resource allocation should be integrated with Program Review under IRAP. It remains an annual planning activity while also being part of the broader integrated planning structure.</w:t>
      </w:r>
    </w:p>
    <w:p w14:paraId="43FAEEF7" w14:textId="77777777" w:rsidR="000D28C0" w:rsidRPr="00DD5D6A" w:rsidRDefault="006F48CA">
      <w:pPr>
        <w:pStyle w:val="ListBullet"/>
        <w:spacing w:after="20"/>
        <w:rPr>
          <w:rFonts w:ascii="Calibri" w:hAnsi="Calibri" w:cs="Calibri"/>
          <w:color w:val="000000" w:themeColor="text1"/>
          <w:sz w:val="22"/>
        </w:rPr>
      </w:pPr>
      <w:r w:rsidRPr="00DD5D6A">
        <w:rPr>
          <w:rFonts w:ascii="Calibri" w:hAnsi="Calibri" w:cs="Calibri"/>
          <w:color w:val="000000" w:themeColor="text1"/>
          <w:sz w:val="22"/>
        </w:rPr>
        <w:t xml:space="preserve">The committee identified value </w:t>
      </w:r>
      <w:proofErr w:type="gramStart"/>
      <w:r w:rsidRPr="00DD5D6A">
        <w:rPr>
          <w:rFonts w:ascii="Calibri" w:hAnsi="Calibri" w:cs="Calibri"/>
          <w:color w:val="000000" w:themeColor="text1"/>
          <w:sz w:val="22"/>
        </w:rPr>
        <w:t>in</w:t>
      </w:r>
      <w:proofErr w:type="gramEnd"/>
      <w:r w:rsidRPr="00DD5D6A">
        <w:rPr>
          <w:rFonts w:ascii="Calibri" w:hAnsi="Calibri" w:cs="Calibri"/>
          <w:color w:val="000000" w:themeColor="text1"/>
          <w:sz w:val="22"/>
        </w:rPr>
        <w:t xml:space="preserve"> developing a visual map showing how the college’s plans connect, intersect, and feed into governance/decision-making. Jesus Miranda offered to seek an example from a previous institution; the CEP and district planning materials may also contain useful models.</w:t>
      </w:r>
    </w:p>
    <w:p w14:paraId="0CAE511A"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planning calendar will be revised and brought back for continued review.</w:t>
      </w:r>
    </w:p>
    <w:p w14:paraId="1669FDFB"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d) Governance Orientation and Training: Fall Feedback and Ongoing Training Needs</w:t>
      </w:r>
    </w:p>
    <w:p w14:paraId="7B414E1D"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IE&amp;A was asked to help develop a framework for collecting feedback on the governance orientation that will be provided at the next College Council meeting. The goal is to use participant feedback to shape future training. The President would like a College Council orientation at the beginning of each academic year.</w:t>
      </w:r>
    </w:p>
    <w:p w14:paraId="135E96C3"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e) 2025–26 Unfinished Business</w:t>
      </w:r>
    </w:p>
    <w:p w14:paraId="2ECA83CB"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Agenda and Minutes Templates: The committee revisited the unfinished work on standardized agenda and minutes templates. A prior gathering of classified professionals reviewed multiple templates across the college and district, but the group did not reconvene to select/finalize one official SAC version. Claire Coyne will follow up with the President’s office regarding the status. Jennifer Valencia will also locate the prior materials and assist in restarting the work.</w:t>
      </w:r>
    </w:p>
    <w:p w14:paraId="2A2ECB21"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CEP KPIs: The committee requested an update on the status of the Comprehensive Educational Plan key performance indicators and where prior work left off. Paula Kincaid will investigate and provide an update at the next meeting.</w:t>
      </w:r>
    </w:p>
    <w:p w14:paraId="6033764C" w14:textId="77777777" w:rsidR="000D28C0" w:rsidRPr="00DD5D6A" w:rsidRDefault="006F48CA">
      <w:pPr>
        <w:pStyle w:val="Heading1"/>
        <w:rPr>
          <w:rFonts w:ascii="Calibri" w:hAnsi="Calibri" w:cs="Calibri"/>
          <w:color w:val="000000" w:themeColor="text1"/>
          <w:sz w:val="22"/>
          <w:szCs w:val="22"/>
        </w:rPr>
      </w:pPr>
      <w:r w:rsidRPr="00DD5D6A">
        <w:rPr>
          <w:rFonts w:ascii="Calibri" w:hAnsi="Calibri" w:cs="Calibri"/>
          <w:color w:val="000000" w:themeColor="text1"/>
          <w:sz w:val="22"/>
          <w:szCs w:val="22"/>
        </w:rPr>
        <w:lastRenderedPageBreak/>
        <w:t>3. Subcommittee Reports</w:t>
      </w:r>
    </w:p>
    <w:p w14:paraId="314E1C20"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a) Accreditation</w:t>
      </w:r>
    </w:p>
    <w:p w14:paraId="1C99BB4A" w14:textId="0FB08A9A"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No standing subcommittee report was provided because the Accreditation Subcommittee was placed on hiatus. Jeff</w:t>
      </w:r>
      <w:r w:rsidR="0095191D">
        <w:rPr>
          <w:rFonts w:ascii="Calibri" w:hAnsi="Calibri" w:cs="Calibri"/>
          <w:color w:val="000000" w:themeColor="text1"/>
          <w:sz w:val="22"/>
        </w:rPr>
        <w:t>rey</w:t>
      </w:r>
      <w:r w:rsidRPr="00DD5D6A">
        <w:rPr>
          <w:rFonts w:ascii="Calibri" w:hAnsi="Calibri" w:cs="Calibri"/>
          <w:color w:val="000000" w:themeColor="text1"/>
          <w:sz w:val="22"/>
        </w:rPr>
        <w:t xml:space="preserve"> Lamb, </w:t>
      </w:r>
      <w:proofErr w:type="gramStart"/>
      <w:r w:rsidRPr="00DD5D6A">
        <w:rPr>
          <w:rFonts w:ascii="Calibri" w:hAnsi="Calibri" w:cs="Calibri"/>
          <w:color w:val="000000" w:themeColor="text1"/>
          <w:sz w:val="22"/>
        </w:rPr>
        <w:t>as</w:t>
      </w:r>
      <w:proofErr w:type="gramEnd"/>
      <w:r w:rsidRPr="00DD5D6A">
        <w:rPr>
          <w:rFonts w:ascii="Calibri" w:hAnsi="Calibri" w:cs="Calibri"/>
          <w:color w:val="000000" w:themeColor="text1"/>
          <w:sz w:val="22"/>
        </w:rPr>
        <w:t xml:space="preserve"> ALO, will provide a direct accreditation update at the next IE&amp;A meeting.</w:t>
      </w:r>
    </w:p>
    <w:p w14:paraId="50B2BA2F"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b) Outcomes Assessment</w:t>
      </w:r>
    </w:p>
    <w:p w14:paraId="739D6EAB" w14:textId="531E3D6C" w:rsidR="000D28C0" w:rsidRPr="00DD5D6A" w:rsidRDefault="00CF56BE">
      <w:pPr>
        <w:rPr>
          <w:rFonts w:ascii="Calibri" w:hAnsi="Calibri" w:cs="Calibri"/>
          <w:color w:val="000000" w:themeColor="text1"/>
          <w:sz w:val="22"/>
        </w:rPr>
      </w:pPr>
      <w:r>
        <w:rPr>
          <w:rFonts w:ascii="Calibri" w:hAnsi="Calibri" w:cs="Calibri"/>
          <w:color w:val="000000" w:themeColor="text1"/>
          <w:sz w:val="22"/>
        </w:rPr>
        <w:t>Dr.</w:t>
      </w:r>
      <w:r w:rsidR="00547DF4">
        <w:rPr>
          <w:rFonts w:ascii="Calibri" w:hAnsi="Calibri" w:cs="Calibri"/>
          <w:color w:val="000000" w:themeColor="text1"/>
          <w:sz w:val="22"/>
        </w:rPr>
        <w:t xml:space="preserve"> </w:t>
      </w:r>
      <w:r w:rsidR="006F48CA" w:rsidRPr="00DD5D6A">
        <w:rPr>
          <w:rFonts w:ascii="Calibri" w:hAnsi="Calibri" w:cs="Calibri"/>
          <w:color w:val="000000" w:themeColor="text1"/>
          <w:sz w:val="22"/>
        </w:rPr>
        <w:t>Jarek</w:t>
      </w:r>
      <w:r w:rsidR="006F48CA" w:rsidRPr="00DD5D6A">
        <w:rPr>
          <w:rFonts w:ascii="Calibri" w:hAnsi="Calibri" w:cs="Calibri"/>
          <w:color w:val="000000" w:themeColor="text1"/>
          <w:sz w:val="22"/>
        </w:rPr>
        <w:t xml:space="preserve"> Janio reported that the Outcomes and Assessment Committee is working on the shared competencies project. Departments/programs are reviewing and revising competencies to improve consistency and accessibility; philosophy and approximately five additional departments were identified as already moving toward readiness. The committee is also considering how revised outcomes will be carried into Canvas for assessment and how reporting will be supported.</w:t>
      </w:r>
    </w:p>
    <w:p w14:paraId="79AB8EE7"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ILO work was also discussed. The ILO committee is newly functioning and may need to revisit the current semester-end target if the timeline proves unrealistic. Jarek will communicate the timing concern to the ILO committee and report back.</w:t>
      </w:r>
    </w:p>
    <w:p w14:paraId="45962CA1"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c) Program Review</w:t>
      </w:r>
    </w:p>
    <w:p w14:paraId="2D3AE7F1" w14:textId="77777777"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 xml:space="preserve">No Program Review representatives were present to provide a report. The committee reiterated that program reviews are due </w:t>
      </w:r>
      <w:proofErr w:type="gramStart"/>
      <w:r w:rsidRPr="00DD5D6A">
        <w:rPr>
          <w:rFonts w:ascii="Calibri" w:hAnsi="Calibri" w:cs="Calibri"/>
          <w:color w:val="000000" w:themeColor="text1"/>
          <w:sz w:val="22"/>
        </w:rPr>
        <w:t>the last</w:t>
      </w:r>
      <w:proofErr w:type="gramEnd"/>
      <w:r w:rsidRPr="00DD5D6A">
        <w:rPr>
          <w:rFonts w:ascii="Calibri" w:hAnsi="Calibri" w:cs="Calibri"/>
          <w:color w:val="000000" w:themeColor="text1"/>
          <w:sz w:val="22"/>
        </w:rPr>
        <w:t xml:space="preserve"> Friday in November.</w:t>
      </w:r>
    </w:p>
    <w:p w14:paraId="47E0DF05" w14:textId="77777777" w:rsidR="000D28C0" w:rsidRPr="00DD5D6A" w:rsidRDefault="006F48CA">
      <w:pPr>
        <w:pStyle w:val="Heading2"/>
        <w:rPr>
          <w:rFonts w:ascii="Calibri" w:hAnsi="Calibri" w:cs="Calibri"/>
          <w:color w:val="000000" w:themeColor="text1"/>
          <w:sz w:val="22"/>
          <w:szCs w:val="22"/>
        </w:rPr>
      </w:pPr>
      <w:r w:rsidRPr="00DD5D6A">
        <w:rPr>
          <w:rFonts w:ascii="Calibri" w:hAnsi="Calibri" w:cs="Calibri"/>
          <w:color w:val="000000" w:themeColor="text1"/>
          <w:sz w:val="22"/>
          <w:szCs w:val="22"/>
        </w:rPr>
        <w:t>4. Good of the Order</w:t>
      </w:r>
    </w:p>
    <w:p w14:paraId="18D88DD3" w14:textId="76C6FBB5" w:rsidR="000D28C0" w:rsidRPr="00DD5D6A" w:rsidRDefault="006F48CA">
      <w:pPr>
        <w:rPr>
          <w:rFonts w:ascii="Calibri" w:hAnsi="Calibri" w:cs="Calibri"/>
          <w:color w:val="000000" w:themeColor="text1"/>
          <w:sz w:val="22"/>
        </w:rPr>
      </w:pPr>
      <w:r w:rsidRPr="00DD5D6A">
        <w:rPr>
          <w:rFonts w:ascii="Calibri" w:hAnsi="Calibri" w:cs="Calibri"/>
          <w:color w:val="000000" w:themeColor="text1"/>
          <w:sz w:val="22"/>
        </w:rPr>
        <w:t>The next IE&amp;A meeting is October 7, 2026.</w:t>
      </w:r>
    </w:p>
    <w:p w14:paraId="46C5844F" w14:textId="745EF36D" w:rsidR="000D28C0" w:rsidRDefault="000D28C0"/>
    <w:sectPr w:rsidR="000D28C0"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287558">
    <w:abstractNumId w:val="8"/>
  </w:num>
  <w:num w:numId="2" w16cid:durableId="1791975045">
    <w:abstractNumId w:val="6"/>
  </w:num>
  <w:num w:numId="3" w16cid:durableId="1020087616">
    <w:abstractNumId w:val="5"/>
  </w:num>
  <w:num w:numId="4" w16cid:durableId="1527332184">
    <w:abstractNumId w:val="4"/>
  </w:num>
  <w:num w:numId="5" w16cid:durableId="464128999">
    <w:abstractNumId w:val="7"/>
  </w:num>
  <w:num w:numId="6" w16cid:durableId="682710640">
    <w:abstractNumId w:val="3"/>
  </w:num>
  <w:num w:numId="7" w16cid:durableId="339043413">
    <w:abstractNumId w:val="2"/>
  </w:num>
  <w:num w:numId="8" w16cid:durableId="1907908000">
    <w:abstractNumId w:val="1"/>
  </w:num>
  <w:num w:numId="9" w16cid:durableId="2060129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8C0"/>
    <w:rsid w:val="00124C73"/>
    <w:rsid w:val="00124D17"/>
    <w:rsid w:val="0015074B"/>
    <w:rsid w:val="0029639D"/>
    <w:rsid w:val="00326F90"/>
    <w:rsid w:val="0048013D"/>
    <w:rsid w:val="004F7454"/>
    <w:rsid w:val="00547DF4"/>
    <w:rsid w:val="008C530A"/>
    <w:rsid w:val="008E70E7"/>
    <w:rsid w:val="0095191D"/>
    <w:rsid w:val="00AA1D8D"/>
    <w:rsid w:val="00B47730"/>
    <w:rsid w:val="00CB0664"/>
    <w:rsid w:val="00CF56BE"/>
    <w:rsid w:val="00DC513C"/>
    <w:rsid w:val="00DD5D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2B313"/>
  <w14:defaultImageDpi w14:val="300"/>
  <w15:docId w15:val="{FEB8C668-5F27-4768-952A-4F3ACF1C4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Miranda, Cristina</cp:lastModifiedBy>
  <cp:revision>7</cp:revision>
  <dcterms:created xsi:type="dcterms:W3CDTF">2013-12-23T23:15:00Z</dcterms:created>
  <dcterms:modified xsi:type="dcterms:W3CDTF">2026-10-02T15:43:00Z</dcterms:modified>
  <cp:category/>
</cp:coreProperties>
</file>