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2319C" w:rsidRDefault="444F657A" w14:paraId="1FFF114E" w14:textId="4E474D06">
      <w:pPr>
        <w:spacing w:before="240" w:after="120"/>
      </w:pPr>
      <w:r w:rsidRPr="33F5FF26">
        <w:rPr>
          <w:rFonts w:ascii="Calibri" w:hAnsi="Calibri"/>
          <w:b/>
          <w:bCs/>
          <w:sz w:val="24"/>
          <w:szCs w:val="24"/>
        </w:rPr>
        <w:t>ENROLLMENT MANAGEMENT COMMITTEE (EMC)</w:t>
      </w:r>
    </w:p>
    <w:p w:rsidR="0032319C" w:rsidRDefault="00DB5A80" w14:paraId="1747B23C" w14:textId="77777777">
      <w:pPr>
        <w:spacing w:before="240" w:after="120"/>
      </w:pPr>
      <w:r>
        <w:rPr>
          <w:rFonts w:ascii="Calibri" w:hAnsi="Calibri"/>
          <w:b/>
          <w:sz w:val="24"/>
        </w:rPr>
        <w:t>PURPOSE</w:t>
      </w:r>
    </w:p>
    <w:p w:rsidR="0032319C" w:rsidRDefault="444F657A" w14:paraId="348D538E" w14:textId="48E44DF0">
      <w:r w:rsidRPr="33F5FF26">
        <w:rPr>
          <w:rFonts w:ascii="Calibri" w:hAnsi="Calibri"/>
          <w:sz w:val="24"/>
          <w:szCs w:val="24"/>
        </w:rPr>
        <w:t xml:space="preserve">The Enrollment Management Committee (EMC) serves as Santa Ana College’s primary strategic body for </w:t>
      </w:r>
      <w:r w:rsidRPr="33F5FF26" w:rsidR="68A7D64A">
        <w:rPr>
          <w:rFonts w:ascii="Calibri" w:hAnsi="Calibri"/>
          <w:sz w:val="24"/>
          <w:szCs w:val="24"/>
        </w:rPr>
        <w:t xml:space="preserve">ensuring </w:t>
      </w:r>
      <w:r w:rsidRPr="33F5FF26">
        <w:rPr>
          <w:rFonts w:ascii="Calibri" w:hAnsi="Calibri"/>
          <w:sz w:val="24"/>
          <w:szCs w:val="24"/>
        </w:rPr>
        <w:t>alignment between institutional planning, schedule development, resource allocation, and Student-Centered Funding Formula (SCFF) performance metrics.</w:t>
      </w:r>
    </w:p>
    <w:p w:rsidR="0032319C" w:rsidRDefault="444F657A" w14:paraId="2CCB4B6C" w14:textId="1F4DA135">
      <w:r w:rsidRPr="33F5FF26">
        <w:rPr>
          <w:rFonts w:ascii="Calibri" w:hAnsi="Calibri"/>
          <w:sz w:val="24"/>
          <w:szCs w:val="24"/>
        </w:rPr>
        <w:t xml:space="preserve">The EMC advances a coordinated, data-informed enrollment strategy that integrates outreach, admissions, financial aid, scheduling, instruction, student services, and pathway clarity </w:t>
      </w:r>
      <w:proofErr w:type="gramStart"/>
      <w:r w:rsidRPr="33F5FF26">
        <w:rPr>
          <w:rFonts w:ascii="Calibri" w:hAnsi="Calibri"/>
          <w:sz w:val="24"/>
          <w:szCs w:val="24"/>
        </w:rPr>
        <w:t>in order to</w:t>
      </w:r>
      <w:proofErr w:type="gramEnd"/>
      <w:r w:rsidRPr="33F5FF26">
        <w:rPr>
          <w:rFonts w:ascii="Calibri" w:hAnsi="Calibri"/>
          <w:sz w:val="24"/>
          <w:szCs w:val="24"/>
        </w:rPr>
        <w:t>:</w:t>
      </w:r>
    </w:p>
    <w:p w:rsidR="0032319C" w:rsidRDefault="43D85547" w14:paraId="0E194A1A" w14:textId="16B3E368">
      <w:pPr>
        <w:pStyle w:val="ListBullet"/>
      </w:pPr>
      <w:r w:rsidRPr="4AE7C2F3">
        <w:rPr>
          <w:rFonts w:ascii="Calibri" w:hAnsi="Calibri"/>
          <w:sz w:val="24"/>
          <w:szCs w:val="24"/>
        </w:rPr>
        <w:t xml:space="preserve">Improve </w:t>
      </w:r>
      <w:r w:rsidRPr="4AE7C2F3" w:rsidR="50E3DDD5">
        <w:rPr>
          <w:rFonts w:ascii="Calibri" w:hAnsi="Calibri"/>
          <w:sz w:val="24"/>
          <w:szCs w:val="24"/>
        </w:rPr>
        <w:t>long-term enrollment stability and fiscal viability</w:t>
      </w:r>
    </w:p>
    <w:p w:rsidR="0032319C" w:rsidP="4AE7C2F3" w:rsidRDefault="50E3DDD5" w14:paraId="7B3C6F14" w14:textId="48F37611">
      <w:pPr>
        <w:pStyle w:val="ListBullet"/>
        <w:rPr>
          <w:rFonts w:ascii="Calibri" w:hAnsi="Calibri"/>
          <w:sz w:val="24"/>
          <w:szCs w:val="24"/>
        </w:rPr>
      </w:pPr>
      <w:r w:rsidRPr="4AE7C2F3">
        <w:rPr>
          <w:rFonts w:ascii="Calibri" w:hAnsi="Calibri"/>
          <w:sz w:val="24"/>
          <w:szCs w:val="24"/>
        </w:rPr>
        <w:t>I</w:t>
      </w:r>
      <w:r w:rsidRPr="4AE7C2F3" w:rsidR="3D30417A">
        <w:rPr>
          <w:rFonts w:ascii="Calibri" w:hAnsi="Calibri"/>
          <w:sz w:val="24"/>
          <w:szCs w:val="24"/>
        </w:rPr>
        <w:t>ncrease</w:t>
      </w:r>
      <w:r w:rsidRPr="4AE7C2F3">
        <w:rPr>
          <w:rFonts w:ascii="Calibri" w:hAnsi="Calibri"/>
          <w:sz w:val="24"/>
          <w:szCs w:val="24"/>
        </w:rPr>
        <w:t xml:space="preserve"> student retention, progression, and completion</w:t>
      </w:r>
      <w:r w:rsidRPr="4AE7C2F3" w:rsidR="621442B3">
        <w:rPr>
          <w:rFonts w:ascii="Calibri" w:hAnsi="Calibri"/>
          <w:sz w:val="24"/>
          <w:szCs w:val="24"/>
        </w:rPr>
        <w:t xml:space="preserve"> in credit and noncredit enrollment</w:t>
      </w:r>
    </w:p>
    <w:p w:rsidR="0032319C" w:rsidRDefault="06A79F20" w14:paraId="6E64B111" w14:textId="735884EE">
      <w:r w:rsidRPr="73E4F4C3">
        <w:rPr>
          <w:rFonts w:ascii="Calibri" w:hAnsi="Calibri"/>
          <w:sz w:val="24"/>
          <w:szCs w:val="24"/>
        </w:rPr>
        <w:t xml:space="preserve">The EMC functions as a strategic recommending body that reports to </w:t>
      </w:r>
      <w:r w:rsidR="007036C1">
        <w:rPr>
          <w:rFonts w:ascii="Calibri" w:hAnsi="Calibri"/>
          <w:sz w:val="24"/>
          <w:szCs w:val="24"/>
        </w:rPr>
        <w:t xml:space="preserve">College Council </w:t>
      </w:r>
      <w:r w:rsidRPr="73E4F4C3">
        <w:rPr>
          <w:rFonts w:ascii="Calibri" w:hAnsi="Calibri"/>
          <w:sz w:val="24"/>
          <w:szCs w:val="24"/>
        </w:rPr>
        <w:t>and provides recommendations to inform institutional planning and resource allocation decisions.</w:t>
      </w:r>
    </w:p>
    <w:p w:rsidR="0032319C" w:rsidRDefault="00DB5A80" w14:paraId="27E9DD47" w14:textId="77777777">
      <w:pPr>
        <w:spacing w:before="240" w:after="120"/>
      </w:pPr>
      <w:r>
        <w:rPr>
          <w:rFonts w:ascii="Calibri" w:hAnsi="Calibri"/>
          <w:b/>
          <w:sz w:val="24"/>
        </w:rPr>
        <w:t>CHARGE</w:t>
      </w:r>
    </w:p>
    <w:p w:rsidR="0032319C" w:rsidRDefault="005B4FA4" w14:paraId="164A5DA9" w14:textId="70D3425D">
      <w:pPr>
        <w:spacing w:before="160" w:after="80"/>
      </w:pPr>
      <w:r>
        <w:rPr>
          <w:rFonts w:ascii="Calibri" w:hAnsi="Calibri"/>
          <w:b/>
          <w:sz w:val="24"/>
        </w:rPr>
        <w:t>1. Enrollment Forecasting, FTES Targets, and Schedule Alignment</w:t>
      </w:r>
    </w:p>
    <w:p w:rsidR="0032319C" w:rsidRDefault="005B4FA4" w14:paraId="3DF7D185" w14:textId="7665AF21">
      <w:pPr>
        <w:pStyle w:val="ListBullet"/>
      </w:pPr>
      <w:r>
        <w:rPr>
          <w:rFonts w:ascii="Calibri" w:hAnsi="Calibri"/>
          <w:sz w:val="24"/>
        </w:rPr>
        <w:t>Review timelines</w:t>
      </w:r>
      <w:r w:rsidR="005B50C3">
        <w:rPr>
          <w:rFonts w:ascii="Calibri" w:hAnsi="Calibri"/>
          <w:sz w:val="24"/>
        </w:rPr>
        <w:t xml:space="preserve"> and </w:t>
      </w:r>
      <w:r>
        <w:rPr>
          <w:rFonts w:ascii="Calibri" w:hAnsi="Calibri"/>
          <w:sz w:val="24"/>
        </w:rPr>
        <w:t>processes for projected schedules and FTES/FTEF targets.</w:t>
      </w:r>
    </w:p>
    <w:p w:rsidR="0032319C" w:rsidRDefault="7A628BD5" w14:paraId="672DACD6" w14:textId="5D59E7D9">
      <w:pPr>
        <w:pStyle w:val="ListBullet"/>
      </w:pPr>
      <w:r w:rsidRPr="33F5FF26">
        <w:rPr>
          <w:rFonts w:ascii="Calibri" w:hAnsi="Calibri"/>
          <w:sz w:val="24"/>
          <w:szCs w:val="24"/>
        </w:rPr>
        <w:t>Share annual targets set by</w:t>
      </w:r>
      <w:r w:rsidRPr="33F5FF26" w:rsidR="13BBDB4A">
        <w:rPr>
          <w:rFonts w:ascii="Calibri" w:hAnsi="Calibri"/>
          <w:sz w:val="24"/>
          <w:szCs w:val="24"/>
        </w:rPr>
        <w:t xml:space="preserve"> President’s Cabinet and</w:t>
      </w:r>
      <w:r w:rsidRPr="33F5FF26">
        <w:rPr>
          <w:rFonts w:ascii="Calibri" w:hAnsi="Calibri"/>
          <w:sz w:val="24"/>
          <w:szCs w:val="24"/>
        </w:rPr>
        <w:t xml:space="preserve"> </w:t>
      </w:r>
      <w:r w:rsidRPr="33F5FF26" w:rsidR="3AFF2379">
        <w:rPr>
          <w:rFonts w:ascii="Calibri" w:hAnsi="Calibri"/>
          <w:sz w:val="24"/>
          <w:szCs w:val="24"/>
        </w:rPr>
        <w:t>r</w:t>
      </w:r>
      <w:r w:rsidRPr="33F5FF26" w:rsidR="444F657A">
        <w:rPr>
          <w:rFonts w:ascii="Calibri" w:hAnsi="Calibri"/>
          <w:sz w:val="24"/>
          <w:szCs w:val="24"/>
        </w:rPr>
        <w:t>eview alignment between projected enrollment, actual performance, and resource allocation.</w:t>
      </w:r>
    </w:p>
    <w:p w:rsidR="0032319C" w:rsidRDefault="00DB5A80" w14:paraId="5E4C7F8F" w14:textId="77777777">
      <w:pPr>
        <w:pStyle w:val="ListBullet"/>
      </w:pPr>
      <w:r>
        <w:rPr>
          <w:rFonts w:ascii="Calibri" w:hAnsi="Calibri"/>
          <w:sz w:val="24"/>
        </w:rPr>
        <w:t>Monitor schedule productivity and recommend adjustments that support enrollment stability and student access.</w:t>
      </w:r>
    </w:p>
    <w:p w:rsidR="0032319C" w:rsidRDefault="00DB5A80" w14:paraId="37C6676B" w14:textId="35FC814C">
      <w:pPr>
        <w:pStyle w:val="ListBullet"/>
      </w:pPr>
      <w:r>
        <w:rPr>
          <w:rFonts w:ascii="Calibri" w:hAnsi="Calibri"/>
          <w:sz w:val="24"/>
        </w:rPr>
        <w:t>Support development tools that guide projected scheduling, target setting, and performance monitoring.</w:t>
      </w:r>
    </w:p>
    <w:p w:rsidR="0032319C" w:rsidRDefault="7D32F837" w14:paraId="517A3EE0" w14:textId="5247CE46">
      <w:pPr>
        <w:spacing w:before="160" w:after="80"/>
      </w:pPr>
      <w:r w:rsidRPr="33F5FF26">
        <w:rPr>
          <w:rFonts w:ascii="Calibri" w:hAnsi="Calibri"/>
          <w:b/>
          <w:bCs/>
          <w:sz w:val="24"/>
          <w:szCs w:val="24"/>
        </w:rPr>
        <w:t>2</w:t>
      </w:r>
      <w:r w:rsidRPr="33F5FF26" w:rsidR="444F657A">
        <w:rPr>
          <w:rFonts w:ascii="Calibri" w:hAnsi="Calibri"/>
          <w:b/>
          <w:bCs/>
          <w:sz w:val="24"/>
          <w:szCs w:val="24"/>
        </w:rPr>
        <w:t>. Supplemental and Student Success Metrics Improvement</w:t>
      </w:r>
    </w:p>
    <w:p w:rsidR="0032319C" w:rsidRDefault="00DB5A80" w14:paraId="59CAEA65" w14:textId="77777777">
      <w:pPr>
        <w:pStyle w:val="ListBullet"/>
      </w:pPr>
      <w:r>
        <w:rPr>
          <w:rFonts w:ascii="Calibri" w:hAnsi="Calibri"/>
          <w:sz w:val="24"/>
        </w:rPr>
        <w:t>Monitor performance on SCFF supplemental metrics, including Promise Grant, Pell, and AB 540 student populations.</w:t>
      </w:r>
    </w:p>
    <w:p w:rsidR="0032319C" w:rsidRDefault="00DB5A80" w14:paraId="588F086B" w14:textId="77777777">
      <w:pPr>
        <w:pStyle w:val="ListBullet"/>
      </w:pPr>
      <w:r>
        <w:rPr>
          <w:rFonts w:ascii="Calibri" w:hAnsi="Calibri"/>
          <w:sz w:val="24"/>
        </w:rPr>
        <w:t>Monitor performance on SCFF success metrics, including degrees, certificates, transfer, transfer-level completion, career education momentum, and living wage outcomes.</w:t>
      </w:r>
    </w:p>
    <w:p w:rsidR="0032319C" w:rsidRDefault="00DB5A80" w14:paraId="0242E803" w14:textId="77777777">
      <w:pPr>
        <w:pStyle w:val="ListBullet"/>
      </w:pPr>
      <w:r>
        <w:rPr>
          <w:rFonts w:ascii="Calibri" w:hAnsi="Calibri"/>
          <w:sz w:val="24"/>
        </w:rPr>
        <w:t>Recommend data-informed strategies to improve retention, progression, and completion, including focused strategies for adult learners.</w:t>
      </w:r>
    </w:p>
    <w:p w:rsidR="0032319C" w:rsidRDefault="27851657" w14:paraId="2543CF07" w14:textId="69CAA536">
      <w:pPr>
        <w:spacing w:before="160" w:after="80"/>
      </w:pPr>
      <w:r w:rsidRPr="33F5FF26">
        <w:rPr>
          <w:rFonts w:ascii="Calibri" w:hAnsi="Calibri"/>
          <w:b/>
          <w:bCs/>
          <w:sz w:val="24"/>
          <w:szCs w:val="24"/>
        </w:rPr>
        <w:t>3</w:t>
      </w:r>
      <w:r w:rsidRPr="33F5FF26" w:rsidR="444F657A">
        <w:rPr>
          <w:rFonts w:ascii="Calibri" w:hAnsi="Calibri"/>
          <w:b/>
          <w:bCs/>
          <w:sz w:val="24"/>
          <w:szCs w:val="24"/>
        </w:rPr>
        <w:t>. Data Review, Reporting, and Institutional Coordination</w:t>
      </w:r>
    </w:p>
    <w:p w:rsidR="0032319C" w:rsidRDefault="00DB5A80" w14:paraId="3D4670DC" w14:textId="77777777">
      <w:pPr>
        <w:pStyle w:val="ListBullet"/>
      </w:pPr>
      <w:r>
        <w:rPr>
          <w:rFonts w:ascii="Calibri" w:hAnsi="Calibri"/>
          <w:sz w:val="24"/>
        </w:rPr>
        <w:t>Recommend new or modified data reports to strengthen forecasting and decision-making.</w:t>
      </w:r>
    </w:p>
    <w:p w:rsidR="0032319C" w:rsidRDefault="00892474" w14:paraId="3ECC5B8D" w14:textId="08BC2C30">
      <w:pPr>
        <w:pStyle w:val="ListBullet"/>
      </w:pPr>
      <w:r w:rsidRPr="00892474">
        <w:rPr>
          <w:rFonts w:ascii="Calibri" w:hAnsi="Calibri"/>
          <w:sz w:val="24"/>
          <w:szCs w:val="24"/>
        </w:rPr>
        <w:t>Maintain an annual enrollment planning cycle that integrates key data reviews, reporting, and decision points.</w:t>
      </w:r>
      <w:r w:rsidR="00D64554">
        <w:rPr>
          <w:rFonts w:ascii="Calibri" w:hAnsi="Calibri"/>
          <w:sz w:val="24"/>
          <w:szCs w:val="24"/>
        </w:rPr>
        <w:t xml:space="preserve"> </w:t>
      </w:r>
      <w:r w:rsidR="00DB5A80">
        <w:rPr>
          <w:rFonts w:ascii="Calibri" w:hAnsi="Calibri"/>
          <w:sz w:val="24"/>
        </w:rPr>
        <w:t>Ensure coordination across A&amp;R, Financial Aid, Outreach, Marketing, Budget, Scheduling, Curriculum, and Instructional planning processes.</w:t>
      </w:r>
    </w:p>
    <w:p w:rsidR="0032319C" w:rsidRDefault="31B3CCFF" w14:paraId="40E10843" w14:textId="3CAFA181">
      <w:pPr>
        <w:spacing w:before="160" w:after="80"/>
      </w:pPr>
      <w:r w:rsidRPr="33F5FF26">
        <w:rPr>
          <w:rFonts w:ascii="Calibri" w:hAnsi="Calibri"/>
          <w:b/>
          <w:bCs/>
          <w:sz w:val="24"/>
          <w:szCs w:val="24"/>
        </w:rPr>
        <w:t>4</w:t>
      </w:r>
      <w:r w:rsidRPr="33F5FF26" w:rsidR="444F657A">
        <w:rPr>
          <w:rFonts w:ascii="Calibri" w:hAnsi="Calibri"/>
          <w:b/>
          <w:bCs/>
          <w:sz w:val="24"/>
          <w:szCs w:val="24"/>
        </w:rPr>
        <w:t>. Resource Alignment, Workgroups, and Governance Transparency</w:t>
      </w:r>
    </w:p>
    <w:p w:rsidR="0032319C" w:rsidRDefault="00DB5A80" w14:paraId="1406DC97" w14:textId="77777777">
      <w:pPr>
        <w:pStyle w:val="ListBullet"/>
      </w:pPr>
      <w:r>
        <w:rPr>
          <w:rFonts w:ascii="Calibri" w:hAnsi="Calibri"/>
          <w:sz w:val="24"/>
        </w:rPr>
        <w:t>Review and recommend alignment of institutional budget priorities with enrollment targets and student success strategies.</w:t>
      </w:r>
    </w:p>
    <w:p w:rsidR="0032319C" w:rsidRDefault="00DB5A80" w14:paraId="6649560F" w14:textId="77777777">
      <w:pPr>
        <w:pStyle w:val="ListBullet"/>
      </w:pPr>
      <w:r>
        <w:rPr>
          <w:rFonts w:ascii="Calibri" w:hAnsi="Calibri"/>
          <w:sz w:val="24"/>
        </w:rPr>
        <w:t>Ensure resource decisions support FTES stability and improvement of supplemental and success metrics.</w:t>
      </w:r>
    </w:p>
    <w:p w:rsidR="0032319C" w:rsidRDefault="00DB5A80" w14:paraId="2677690C" w14:textId="77777777">
      <w:pPr>
        <w:pStyle w:val="ListBullet"/>
      </w:pPr>
      <w:r>
        <w:rPr>
          <w:rFonts w:ascii="Calibri" w:hAnsi="Calibri"/>
          <w:sz w:val="24"/>
        </w:rPr>
        <w:t>Establish time-limited workgroups to address identified enrollment bottlenecks or strategic priorities and review their recommendations.</w:t>
      </w:r>
    </w:p>
    <w:p w:rsidR="0032319C" w:rsidRDefault="444F657A" w14:paraId="4E05C4E7" w14:textId="519AFF86">
      <w:pPr>
        <w:pStyle w:val="ListBullet"/>
      </w:pPr>
      <w:r w:rsidRPr="33F5FF26">
        <w:rPr>
          <w:rFonts w:ascii="Calibri" w:hAnsi="Calibri"/>
          <w:sz w:val="24"/>
          <w:szCs w:val="24"/>
        </w:rPr>
        <w:t xml:space="preserve">Document and communicate </w:t>
      </w:r>
      <w:r w:rsidR="00ED6743">
        <w:rPr>
          <w:rFonts w:ascii="Calibri" w:hAnsi="Calibri"/>
          <w:sz w:val="24"/>
          <w:szCs w:val="24"/>
        </w:rPr>
        <w:t>EMC</w:t>
      </w:r>
      <w:r w:rsidRPr="33F5FF26">
        <w:rPr>
          <w:rFonts w:ascii="Calibri" w:hAnsi="Calibri"/>
          <w:sz w:val="24"/>
          <w:szCs w:val="24"/>
        </w:rPr>
        <w:t xml:space="preserve"> processes</w:t>
      </w:r>
      <w:r w:rsidR="00BA6F34">
        <w:rPr>
          <w:rFonts w:ascii="Calibri" w:hAnsi="Calibri"/>
          <w:sz w:val="24"/>
          <w:szCs w:val="24"/>
        </w:rPr>
        <w:t xml:space="preserve"> to clarify </w:t>
      </w:r>
      <w:r w:rsidRPr="33F5FF26">
        <w:rPr>
          <w:rFonts w:ascii="Calibri" w:hAnsi="Calibri"/>
          <w:sz w:val="24"/>
          <w:szCs w:val="24"/>
        </w:rPr>
        <w:t>the committee’s role within institutional planning and shared governance structures.</w:t>
      </w:r>
    </w:p>
    <w:p w:rsidR="0032319C" w:rsidRDefault="00DB5A80" w14:paraId="4E5FC010" w14:textId="77777777">
      <w:pPr>
        <w:spacing w:before="240" w:after="120"/>
      </w:pPr>
      <w:r>
        <w:rPr>
          <w:rFonts w:ascii="Calibri" w:hAnsi="Calibri"/>
          <w:b/>
          <w:sz w:val="24"/>
        </w:rPr>
        <w:t>PROCEDURES</w:t>
      </w:r>
    </w:p>
    <w:p w:rsidR="0032319C" w:rsidRDefault="00DB5A80" w14:paraId="2D08BA91" w14:textId="77777777">
      <w:pPr>
        <w:pStyle w:val="ListBullet"/>
      </w:pPr>
      <w:r>
        <w:rPr>
          <w:rFonts w:ascii="Calibri" w:hAnsi="Calibri"/>
          <w:sz w:val="24"/>
        </w:rPr>
        <w:t>Action items require quorum (50% + 1) and are voted upon by committee members.</w:t>
      </w:r>
    </w:p>
    <w:p w:rsidR="0032319C" w:rsidRDefault="00DB5A80" w14:paraId="42EA0D57" w14:textId="77777777">
      <w:pPr>
        <w:pStyle w:val="ListBullet"/>
      </w:pPr>
      <w:r>
        <w:rPr>
          <w:rFonts w:ascii="Calibri" w:hAnsi="Calibri"/>
          <w:sz w:val="24"/>
        </w:rPr>
        <w:t>Workgroups, when established, report progress and recommendations to the full committee.</w:t>
      </w:r>
    </w:p>
    <w:p w:rsidR="0032319C" w:rsidRDefault="00DB5A80" w14:paraId="280E9315" w14:textId="77777777">
      <w:pPr>
        <w:spacing w:before="240" w:after="120"/>
      </w:pPr>
      <w:r>
        <w:rPr>
          <w:rFonts w:ascii="Calibri" w:hAnsi="Calibri"/>
          <w:b/>
          <w:sz w:val="24"/>
        </w:rPr>
        <w:t>MEETING FREQUENCY</w:t>
      </w:r>
    </w:p>
    <w:p w:rsidR="0032319C" w:rsidRDefault="444F657A" w14:paraId="522D4340" w14:textId="4249A154">
      <w:r w:rsidRPr="33F5FF26">
        <w:rPr>
          <w:rFonts w:ascii="Calibri" w:hAnsi="Calibri"/>
          <w:sz w:val="24"/>
          <w:szCs w:val="24"/>
        </w:rPr>
        <w:t xml:space="preserve">The Enrollment Management </w:t>
      </w:r>
      <w:r w:rsidRPr="33F5FF26" w:rsidR="32E26222">
        <w:rPr>
          <w:rFonts w:ascii="Calibri" w:hAnsi="Calibri"/>
          <w:sz w:val="24"/>
          <w:szCs w:val="24"/>
        </w:rPr>
        <w:t>C</w:t>
      </w:r>
      <w:r w:rsidRPr="33F5FF26">
        <w:rPr>
          <w:rFonts w:ascii="Calibri" w:hAnsi="Calibri"/>
          <w:sz w:val="24"/>
          <w:szCs w:val="24"/>
        </w:rPr>
        <w:t xml:space="preserve">ommittee (EMC) meets </w:t>
      </w:r>
      <w:proofErr w:type="gramStart"/>
      <w:r w:rsidRPr="33F5FF26">
        <w:rPr>
          <w:rFonts w:ascii="Calibri" w:hAnsi="Calibri"/>
          <w:sz w:val="24"/>
          <w:szCs w:val="24"/>
        </w:rPr>
        <w:t>on a monthly basis</w:t>
      </w:r>
      <w:proofErr w:type="gramEnd"/>
      <w:r w:rsidRPr="33F5FF26">
        <w:rPr>
          <w:rFonts w:ascii="Calibri" w:hAnsi="Calibri"/>
          <w:sz w:val="24"/>
          <w:szCs w:val="24"/>
        </w:rPr>
        <w:t xml:space="preserve"> during the academic year or as needed to support enrollment planning cycles and </w:t>
      </w:r>
      <w:r w:rsidR="00D6373D">
        <w:rPr>
          <w:rFonts w:ascii="Calibri" w:hAnsi="Calibri"/>
          <w:sz w:val="24"/>
          <w:szCs w:val="24"/>
        </w:rPr>
        <w:t>College Council</w:t>
      </w:r>
      <w:r w:rsidRPr="33F5FF26">
        <w:rPr>
          <w:rFonts w:ascii="Calibri" w:hAnsi="Calibri"/>
          <w:sz w:val="24"/>
          <w:szCs w:val="24"/>
        </w:rPr>
        <w:t xml:space="preserve"> reporting timelines.</w:t>
      </w:r>
    </w:p>
    <w:p w:rsidR="0032319C" w:rsidRDefault="00DB5A80" w14:paraId="2D79D80D" w14:textId="77777777">
      <w:r>
        <w:br w:type="page"/>
      </w:r>
    </w:p>
    <w:p w:rsidR="0067DFBD" w:rsidP="33F5FF26" w:rsidRDefault="0067DFBD" w14:paraId="341250B9" w14:textId="7A3E308E">
      <w:r w:rsidRPr="33F5FF26">
        <w:rPr>
          <w:rFonts w:asciiTheme="majorHAnsi" w:hAnsiTheme="majorHAnsi" w:eastAsiaTheme="majorEastAsia" w:cstheme="majorBidi"/>
          <w:b/>
          <w:bCs/>
          <w:sz w:val="24"/>
          <w:szCs w:val="24"/>
        </w:rPr>
        <w:t>MEMBERSHIP COMPOSITION</w:t>
      </w:r>
    </w:p>
    <w:p w:rsidR="0E0FB85F" w:rsidP="77D9659A" w:rsidRDefault="0E0FB85F" w14:paraId="3C4C6F88" w14:textId="076E8836">
      <w:pPr>
        <w:rPr>
          <w:rFonts w:asciiTheme="majorHAnsi" w:hAnsiTheme="majorHAnsi" w:eastAsiaTheme="majorEastAsia" w:cstheme="majorBidi"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sz w:val="24"/>
          <w:szCs w:val="24"/>
        </w:rPr>
        <w:t>The committee shall consist of the following members:</w:t>
      </w:r>
    </w:p>
    <w:p w:rsidR="0E0FB85F" w:rsidP="77D9659A" w:rsidRDefault="0E0FB85F" w14:paraId="0822F18E" w14:textId="3F41E4C2">
      <w:pPr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sz w:val="24"/>
          <w:szCs w:val="24"/>
        </w:rPr>
        <w:t>7 Management Representatives</w:t>
      </w:r>
    </w:p>
    <w:p w:rsidR="0E0FB85F" w:rsidP="77D9659A" w:rsidRDefault="0E0FB85F" w14:paraId="59DFF103" w14:textId="1B2BE117">
      <w:pPr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sz w:val="24"/>
          <w:szCs w:val="24"/>
        </w:rPr>
        <w:t>7 Faculty Representatives</w:t>
      </w:r>
    </w:p>
    <w:p w:rsidR="0E0FB85F" w:rsidP="77D9659A" w:rsidRDefault="0E0FB85F" w14:paraId="3D9E7B96" w14:textId="558C15BA">
      <w:pPr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sz w:val="24"/>
          <w:szCs w:val="24"/>
        </w:rPr>
        <w:t>7 Classified Staff Representatives</w:t>
      </w:r>
    </w:p>
    <w:p w:rsidR="0E0FB85F" w:rsidP="77D9659A" w:rsidRDefault="7B15C672" w14:paraId="50B6FE4A" w14:textId="682B99AB">
      <w:pPr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33F5FF26">
        <w:rPr>
          <w:rFonts w:asciiTheme="majorHAnsi" w:hAnsiTheme="majorHAnsi" w:eastAsiaTheme="majorEastAsia" w:cstheme="majorBidi"/>
          <w:sz w:val="24"/>
          <w:szCs w:val="24"/>
        </w:rPr>
        <w:t>2 Student Representatives</w:t>
      </w:r>
    </w:p>
    <w:p w:rsidR="0BED4107" w:rsidP="33F5FF26" w:rsidRDefault="0BED4107" w14:paraId="7D315CB4" w14:textId="18E6927E">
      <w:pPr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33F5FF26">
        <w:rPr>
          <w:rFonts w:asciiTheme="majorHAnsi" w:hAnsiTheme="majorHAnsi" w:eastAsiaTheme="majorEastAsia" w:cstheme="majorBidi"/>
          <w:b/>
          <w:bCs/>
          <w:sz w:val="24"/>
          <w:szCs w:val="24"/>
        </w:rPr>
        <w:t>APPOINTMENT PROCESS</w:t>
      </w:r>
    </w:p>
    <w:p w:rsidR="0E0FB85F" w:rsidP="77D9659A" w:rsidRDefault="0E0FB85F" w14:paraId="193E75E2" w14:textId="7ED44347">
      <w:pPr>
        <w:rPr>
          <w:rFonts w:asciiTheme="majorHAnsi" w:hAnsiTheme="majorHAnsi" w:eastAsiaTheme="majorEastAsia" w:cstheme="majorBidi"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sz w:val="24"/>
          <w:szCs w:val="24"/>
        </w:rPr>
        <w:t>Representatives from each classification shall be appointed by their respective leadership bodies:</w:t>
      </w:r>
    </w:p>
    <w:p w:rsidR="0E0FB85F" w:rsidP="77D9659A" w:rsidRDefault="0E0FB85F" w14:paraId="7A7C7D3F" w14:textId="6600B854">
      <w:pPr>
        <w:rPr>
          <w:rFonts w:asciiTheme="majorHAnsi" w:hAnsiTheme="majorHAnsi" w:eastAsiaTheme="majorEastAsia" w:cstheme="majorBidi"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sz w:val="24"/>
          <w:szCs w:val="24"/>
        </w:rPr>
        <w:t>Management Representatives are appointed by executive leadership.</w:t>
      </w:r>
    </w:p>
    <w:p w:rsidR="0E0FB85F" w:rsidP="77D9659A" w:rsidRDefault="0E0FB85F" w14:paraId="2C85D115" w14:textId="457A78FB">
      <w:pPr>
        <w:rPr>
          <w:rFonts w:asciiTheme="majorHAnsi" w:hAnsiTheme="majorHAnsi" w:eastAsiaTheme="majorEastAsia" w:cstheme="majorBidi"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sz w:val="24"/>
          <w:szCs w:val="24"/>
        </w:rPr>
        <w:t>Faculty Representatives are appointed by the Academic Senate.</w:t>
      </w:r>
    </w:p>
    <w:p w:rsidR="0E0FB85F" w:rsidP="77D9659A" w:rsidRDefault="0E0FB85F" w14:paraId="75BBFB4D" w14:textId="72817011">
      <w:pPr>
        <w:rPr>
          <w:rFonts w:asciiTheme="majorHAnsi" w:hAnsiTheme="majorHAnsi" w:eastAsiaTheme="majorEastAsia" w:cstheme="majorBidi"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sz w:val="24"/>
          <w:szCs w:val="24"/>
        </w:rPr>
        <w:t>Classified Staff Representatives are appointed by CSEA leadership.</w:t>
      </w:r>
    </w:p>
    <w:p w:rsidR="0E0FB85F" w:rsidP="3F9C2CF7" w:rsidRDefault="7B15C672" w14:paraId="570EE8E6" w14:textId="6FF06A67">
      <w:pPr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</w:pPr>
      <w:r w:rsidRPr="3F9C2CF7" w:rsidR="6084A5F5"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  <w:t xml:space="preserve">Student Representatives are appointed </w:t>
      </w:r>
      <w:r w:rsidRPr="3F9C2CF7" w:rsidR="0E153EFD"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  <w:t>by</w:t>
      </w:r>
      <w:r w:rsidRPr="3F9C2CF7" w:rsidR="6084A5F5"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  <w:t xml:space="preserve"> </w:t>
      </w:r>
      <w:r w:rsidRPr="3F9C2CF7" w:rsidR="6F335428"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  <w:t>ASG</w:t>
      </w:r>
      <w:r w:rsidRPr="3F9C2CF7" w:rsidR="4AD9D70B">
        <w:rPr>
          <w:rFonts w:ascii="Calibri" w:hAnsi="Calibri" w:eastAsia="ＭＳ ゴシック" w:cs="Times New Roman" w:asciiTheme="majorAscii" w:hAnsiTheme="majorAscii" w:eastAsiaTheme="majorEastAsia" w:cstheme="majorBidi"/>
          <w:sz w:val="24"/>
          <w:szCs w:val="24"/>
        </w:rPr>
        <w:t>.</w:t>
      </w:r>
    </w:p>
    <w:p w:rsidR="0E0FB85F" w:rsidP="77D9659A" w:rsidRDefault="7B15C672" w14:paraId="2BF24DC0" w14:textId="2E7556D3">
      <w:pPr>
        <w:rPr>
          <w:rFonts w:asciiTheme="majorHAnsi" w:hAnsiTheme="majorHAnsi" w:eastAsiaTheme="majorEastAsia" w:cstheme="majorBidi"/>
          <w:sz w:val="24"/>
          <w:szCs w:val="24"/>
        </w:rPr>
      </w:pPr>
      <w:r w:rsidRPr="33F5FF26">
        <w:rPr>
          <w:rFonts w:asciiTheme="majorHAnsi" w:hAnsiTheme="majorHAnsi" w:eastAsiaTheme="majorEastAsia" w:cstheme="majorBidi"/>
          <w:sz w:val="24"/>
          <w:szCs w:val="24"/>
        </w:rPr>
        <w:t xml:space="preserve">Each appointing body is responsible for ensuring that representatives reflect a diversity of perspectives and functional areas relevant to enrollment management, including </w:t>
      </w:r>
      <w:r w:rsidRPr="33F5FF26" w:rsidR="3E3B57C0">
        <w:rPr>
          <w:rFonts w:asciiTheme="majorHAnsi" w:hAnsiTheme="majorHAnsi" w:eastAsiaTheme="majorEastAsia" w:cstheme="majorBidi"/>
          <w:sz w:val="24"/>
          <w:szCs w:val="24"/>
        </w:rPr>
        <w:t>instruction (noncredit and credit)</w:t>
      </w:r>
      <w:r w:rsidRPr="33F5FF26">
        <w:rPr>
          <w:rFonts w:asciiTheme="majorHAnsi" w:hAnsiTheme="majorHAnsi" w:eastAsiaTheme="majorEastAsia" w:cstheme="majorBidi"/>
          <w:sz w:val="24"/>
          <w:szCs w:val="24"/>
        </w:rPr>
        <w:t>, student services, and administrative services.</w:t>
      </w:r>
    </w:p>
    <w:p w:rsidR="0E0FB85F" w:rsidP="77D9659A" w:rsidRDefault="0E0FB85F" w14:paraId="5938BF96" w14:textId="5406CCD7">
      <w:pPr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b/>
          <w:bCs/>
          <w:sz w:val="24"/>
          <w:szCs w:val="24"/>
        </w:rPr>
        <w:t>Membership Capacity and Quorum</w:t>
      </w:r>
    </w:p>
    <w:p w:rsidR="0E0FB85F" w:rsidP="77D9659A" w:rsidRDefault="0E0FB85F" w14:paraId="3A4A6D2D" w14:textId="2B66EFAC">
      <w:pPr>
        <w:rPr>
          <w:rFonts w:asciiTheme="majorHAnsi" w:hAnsiTheme="majorHAnsi" w:eastAsiaTheme="majorEastAsia" w:cstheme="majorBidi"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sz w:val="24"/>
          <w:szCs w:val="24"/>
        </w:rPr>
        <w:t>If a classification does not provide sufficient representatives to fill its allotted membership, the committee shall proceed with the members appointed.</w:t>
      </w:r>
    </w:p>
    <w:p w:rsidR="0E0FB85F" w:rsidP="77D9659A" w:rsidRDefault="0E0FB85F" w14:paraId="5DF20F21" w14:textId="7AE76B37">
      <w:pPr>
        <w:rPr>
          <w:rFonts w:asciiTheme="majorHAnsi" w:hAnsiTheme="majorHAnsi" w:eastAsiaTheme="majorEastAsia" w:cstheme="majorBidi"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sz w:val="24"/>
          <w:szCs w:val="24"/>
        </w:rPr>
        <w:t>Quorum shall be calculated based on the initial membership list as established at the beginning of the academic year, regardless of vacancies that occur thereafter.</w:t>
      </w:r>
    </w:p>
    <w:p w:rsidR="0E0FB85F" w:rsidP="77D9659A" w:rsidRDefault="7B15C672" w14:paraId="56415B35" w14:textId="22DE03B2">
      <w:pPr>
        <w:rPr>
          <w:rFonts w:asciiTheme="majorHAnsi" w:hAnsiTheme="majorHAnsi" w:eastAsiaTheme="majorEastAsia" w:cstheme="majorBidi"/>
          <w:sz w:val="24"/>
          <w:szCs w:val="24"/>
        </w:rPr>
      </w:pPr>
      <w:r w:rsidRPr="33F5FF26">
        <w:rPr>
          <w:rFonts w:asciiTheme="majorHAnsi" w:hAnsiTheme="majorHAnsi" w:eastAsiaTheme="majorEastAsia" w:cstheme="majorBidi"/>
          <w:sz w:val="24"/>
          <w:szCs w:val="24"/>
        </w:rPr>
        <w:t>The EMC co-chairs, in coordination with administrative support, are responsible for maintaining and updating the official membership list.</w:t>
      </w:r>
    </w:p>
    <w:p w:rsidR="0E0FB85F" w:rsidP="77D9659A" w:rsidRDefault="0E0FB85F" w14:paraId="69EAC02A" w14:textId="532A7F4A">
      <w:pPr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77D9659A">
        <w:rPr>
          <w:rFonts w:asciiTheme="majorHAnsi" w:hAnsiTheme="majorHAnsi" w:eastAsiaTheme="majorEastAsia" w:cstheme="majorBidi"/>
          <w:b/>
          <w:bCs/>
          <w:sz w:val="24"/>
          <w:szCs w:val="24"/>
        </w:rPr>
        <w:t>Participation and Engagement</w:t>
      </w:r>
    </w:p>
    <w:p w:rsidR="0E0FB85F" w:rsidP="77D9659A" w:rsidRDefault="7B15C672" w14:paraId="26A46268" w14:textId="568AE191">
      <w:pPr>
        <w:rPr>
          <w:rFonts w:asciiTheme="majorHAnsi" w:hAnsiTheme="majorHAnsi" w:eastAsiaTheme="majorEastAsia" w:cstheme="majorBidi"/>
          <w:sz w:val="24"/>
          <w:szCs w:val="24"/>
        </w:rPr>
      </w:pPr>
      <w:r w:rsidRPr="33F5FF26">
        <w:rPr>
          <w:rFonts w:asciiTheme="majorHAnsi" w:hAnsiTheme="majorHAnsi" w:eastAsiaTheme="majorEastAsia" w:cstheme="majorBidi"/>
          <w:sz w:val="24"/>
          <w:szCs w:val="24"/>
        </w:rPr>
        <w:t>The EMC welcomes participation from the broader college community, including faculty, classified staff, and managers, to attend meetings as desired.</w:t>
      </w:r>
    </w:p>
    <w:p w:rsidR="0E0FB85F" w:rsidP="77D9659A" w:rsidRDefault="7B15C672" w14:paraId="328FFEDE" w14:textId="446AD4D9">
      <w:pPr>
        <w:rPr>
          <w:rFonts w:asciiTheme="majorHAnsi" w:hAnsiTheme="majorHAnsi" w:eastAsiaTheme="majorEastAsia" w:cstheme="majorBidi"/>
          <w:sz w:val="24"/>
          <w:szCs w:val="24"/>
        </w:rPr>
      </w:pPr>
      <w:r w:rsidRPr="33F5FF26">
        <w:rPr>
          <w:rFonts w:asciiTheme="majorHAnsi" w:hAnsiTheme="majorHAnsi" w:eastAsiaTheme="majorEastAsia" w:cstheme="majorBidi"/>
          <w:sz w:val="24"/>
          <w:szCs w:val="24"/>
        </w:rPr>
        <w:t>The co-chairs may invite non-members, including subject matter experts and operational leads, to attend meetings to provide information, support, and context relevant to the committee’s work.</w:t>
      </w:r>
    </w:p>
    <w:p w:rsidR="00D64554" w:rsidP="003131E1" w:rsidRDefault="003131E1" w14:paraId="3E2337F5" w14:textId="77777777">
      <w:pPr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003131E1">
        <w:rPr>
          <w:rFonts w:asciiTheme="majorHAnsi" w:hAnsiTheme="majorHAnsi" w:eastAsiaTheme="majorEastAsia" w:cstheme="majorBidi"/>
          <w:b/>
          <w:bCs/>
          <w:sz w:val="24"/>
          <w:szCs w:val="24"/>
        </w:rPr>
        <w:t>CONTINUOUS IMPROVEMENT AND SELF-EVALUATIO</w:t>
      </w:r>
      <w:r w:rsidR="00D64554">
        <w:rPr>
          <w:rFonts w:asciiTheme="majorHAnsi" w:hAnsiTheme="majorHAnsi" w:eastAsiaTheme="majorEastAsia" w:cstheme="majorBidi"/>
          <w:b/>
          <w:bCs/>
          <w:sz w:val="24"/>
          <w:szCs w:val="24"/>
        </w:rPr>
        <w:t>N</w:t>
      </w:r>
    </w:p>
    <w:p w:rsidRPr="00451F9D" w:rsidR="003131E1" w:rsidP="003131E1" w:rsidRDefault="003131E1" w14:paraId="3E9E176D" w14:textId="53389E71">
      <w:pPr>
        <w:rPr>
          <w:rFonts w:asciiTheme="majorHAnsi" w:hAnsiTheme="majorHAnsi" w:eastAsiaTheme="majorEastAsia" w:cstheme="majorBidi"/>
          <w:b/>
          <w:bCs/>
          <w:sz w:val="24"/>
          <w:szCs w:val="24"/>
        </w:rPr>
      </w:pPr>
      <w:r w:rsidRPr="003131E1">
        <w:rPr>
          <w:rFonts w:asciiTheme="majorHAnsi" w:hAnsiTheme="majorHAnsi" w:eastAsiaTheme="majorEastAsia" w:cstheme="majorBidi"/>
          <w:sz w:val="24"/>
          <w:szCs w:val="24"/>
        </w:rPr>
        <w:br/>
      </w:r>
      <w:r w:rsidRPr="003131E1">
        <w:rPr>
          <w:rFonts w:asciiTheme="majorHAnsi" w:hAnsiTheme="majorHAnsi" w:eastAsiaTheme="majorEastAsia" w:cstheme="majorBidi"/>
          <w:sz w:val="24"/>
          <w:szCs w:val="24"/>
        </w:rPr>
        <w:t>The committee conducts structured self-evaluation at the midpoint and conclusion of each academic year to assess its effectiveness, progress toward goals, and overall impact.</w:t>
      </w:r>
    </w:p>
    <w:p w:rsidRPr="003131E1" w:rsidR="003131E1" w:rsidP="003131E1" w:rsidRDefault="003131E1" w14:paraId="51F59394" w14:textId="77777777">
      <w:pPr>
        <w:rPr>
          <w:rFonts w:asciiTheme="majorHAnsi" w:hAnsiTheme="majorHAnsi" w:eastAsiaTheme="majorEastAsia" w:cstheme="majorBidi"/>
          <w:sz w:val="24"/>
          <w:szCs w:val="24"/>
        </w:rPr>
      </w:pPr>
      <w:r w:rsidRPr="003131E1">
        <w:rPr>
          <w:rFonts w:asciiTheme="majorHAnsi" w:hAnsiTheme="majorHAnsi" w:eastAsiaTheme="majorEastAsia" w:cstheme="majorBidi"/>
          <w:sz w:val="24"/>
          <w:szCs w:val="24"/>
        </w:rPr>
        <w:t>Midpoint evaluation focuses on identifying gaps and making timely adjustments to strengthen ongoing work. End-of-year evaluation focuses on assessing outcomes, documenting key accomplishments, and identifying areas for improvement.</w:t>
      </w:r>
    </w:p>
    <w:p w:rsidRPr="003131E1" w:rsidR="003131E1" w:rsidP="003131E1" w:rsidRDefault="003131E1" w14:paraId="552B6C95" w14:textId="77777777">
      <w:pPr>
        <w:rPr>
          <w:rFonts w:asciiTheme="majorHAnsi" w:hAnsiTheme="majorHAnsi" w:eastAsiaTheme="majorEastAsia" w:cstheme="majorBidi"/>
          <w:sz w:val="24"/>
          <w:szCs w:val="24"/>
        </w:rPr>
      </w:pPr>
      <w:r w:rsidRPr="003131E1">
        <w:rPr>
          <w:rFonts w:asciiTheme="majorHAnsi" w:hAnsiTheme="majorHAnsi" w:eastAsiaTheme="majorEastAsia" w:cstheme="majorBidi"/>
          <w:sz w:val="24"/>
          <w:szCs w:val="24"/>
        </w:rPr>
        <w:t>Findings from both evaluations are used to inform subsequent planning cycles, refine committee processes, and strengthen alignment with institutional priorities.</w:t>
      </w:r>
    </w:p>
    <w:p w:rsidR="77D9659A" w:rsidP="77D9659A" w:rsidRDefault="77D9659A" w14:paraId="509ED906" w14:textId="100BC9BA">
      <w:pPr>
        <w:pStyle w:val="ListBullet"/>
        <w:numPr>
          <w:ilvl w:val="0"/>
          <w:numId w:val="0"/>
        </w:numPr>
        <w:rPr>
          <w:rFonts w:ascii="Calibri" w:hAnsi="Calibri"/>
          <w:sz w:val="24"/>
          <w:szCs w:val="24"/>
        </w:rPr>
      </w:pPr>
    </w:p>
    <w:sectPr w:rsidR="77D9659A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6CAC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5E25D0E1"/>
    <w:multiLevelType w:val="hybridMultilevel"/>
    <w:tmpl w:val="DEAE33CE"/>
    <w:lvl w:ilvl="0" w:tplc="B62A19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6051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8409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5CE29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F855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C2444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33E3E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8D6B4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CB637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AD906B2"/>
    <w:multiLevelType w:val="hybridMultilevel"/>
    <w:tmpl w:val="4F04D472"/>
    <w:lvl w:ilvl="0" w:tplc="C2F4A14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9AF15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60291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1AF5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F6A8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9CE86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BB864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5A47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F47E4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02227455">
    <w:abstractNumId w:val="3"/>
  </w:num>
  <w:num w:numId="2" w16cid:durableId="1351030860">
    <w:abstractNumId w:val="4"/>
  </w:num>
  <w:num w:numId="3" w16cid:durableId="1360353397">
    <w:abstractNumId w:val="2"/>
  </w:num>
  <w:num w:numId="4" w16cid:durableId="1822386477">
    <w:abstractNumId w:val="10"/>
  </w:num>
  <w:num w:numId="5" w16cid:durableId="298189940">
    <w:abstractNumId w:val="9"/>
  </w:num>
  <w:num w:numId="6" w16cid:durableId="374743648">
    <w:abstractNumId w:val="0"/>
  </w:num>
  <w:num w:numId="7" w16cid:durableId="415513956">
    <w:abstractNumId w:val="5"/>
  </w:num>
  <w:num w:numId="8" w16cid:durableId="444547948">
    <w:abstractNumId w:val="1"/>
  </w:num>
  <w:num w:numId="9" w16cid:durableId="564334989">
    <w:abstractNumId w:val="6"/>
  </w:num>
  <w:num w:numId="10" w16cid:durableId="85008245">
    <w:abstractNumId w:val="7"/>
  </w:num>
  <w:num w:numId="11" w16cid:durableId="917517773">
    <w:abstractNumId w:val="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1B0"/>
    <w:rsid w:val="000C70F8"/>
    <w:rsid w:val="001274D0"/>
    <w:rsid w:val="0015074B"/>
    <w:rsid w:val="001E19C9"/>
    <w:rsid w:val="0021620F"/>
    <w:rsid w:val="002654D9"/>
    <w:rsid w:val="0029639D"/>
    <w:rsid w:val="003131E1"/>
    <w:rsid w:val="0032319C"/>
    <w:rsid w:val="00326F90"/>
    <w:rsid w:val="003B153C"/>
    <w:rsid w:val="0040521A"/>
    <w:rsid w:val="00451F9D"/>
    <w:rsid w:val="004A5031"/>
    <w:rsid w:val="0051432C"/>
    <w:rsid w:val="005A762C"/>
    <w:rsid w:val="005B4FA4"/>
    <w:rsid w:val="005B50C3"/>
    <w:rsid w:val="0067DFBD"/>
    <w:rsid w:val="006B6B3F"/>
    <w:rsid w:val="007036C1"/>
    <w:rsid w:val="00711694"/>
    <w:rsid w:val="00773678"/>
    <w:rsid w:val="007D044E"/>
    <w:rsid w:val="0084173B"/>
    <w:rsid w:val="00862DE1"/>
    <w:rsid w:val="00863027"/>
    <w:rsid w:val="00892474"/>
    <w:rsid w:val="008B5BA3"/>
    <w:rsid w:val="00977A08"/>
    <w:rsid w:val="00980CF5"/>
    <w:rsid w:val="00A07152"/>
    <w:rsid w:val="00A772D6"/>
    <w:rsid w:val="00AA1D8D"/>
    <w:rsid w:val="00AB3D0A"/>
    <w:rsid w:val="00AD005E"/>
    <w:rsid w:val="00B34483"/>
    <w:rsid w:val="00B366A0"/>
    <w:rsid w:val="00B47730"/>
    <w:rsid w:val="00BA6F34"/>
    <w:rsid w:val="00C503F4"/>
    <w:rsid w:val="00C91CF5"/>
    <w:rsid w:val="00C92BC0"/>
    <w:rsid w:val="00CB0664"/>
    <w:rsid w:val="00D6373D"/>
    <w:rsid w:val="00D64554"/>
    <w:rsid w:val="00D70D55"/>
    <w:rsid w:val="00D835F3"/>
    <w:rsid w:val="00D934E4"/>
    <w:rsid w:val="00DB5A80"/>
    <w:rsid w:val="00DC15C7"/>
    <w:rsid w:val="00DF77B4"/>
    <w:rsid w:val="00E53381"/>
    <w:rsid w:val="00EA37F6"/>
    <w:rsid w:val="00EB7062"/>
    <w:rsid w:val="00EC26C7"/>
    <w:rsid w:val="00ED6743"/>
    <w:rsid w:val="00F040ED"/>
    <w:rsid w:val="00F241D3"/>
    <w:rsid w:val="00F64E44"/>
    <w:rsid w:val="00FC693F"/>
    <w:rsid w:val="06A79F20"/>
    <w:rsid w:val="0B8EC08E"/>
    <w:rsid w:val="0BED4107"/>
    <w:rsid w:val="0E0FB85F"/>
    <w:rsid w:val="0E153EFD"/>
    <w:rsid w:val="0FBD36AF"/>
    <w:rsid w:val="1255699E"/>
    <w:rsid w:val="13BBDB4A"/>
    <w:rsid w:val="26D28EDC"/>
    <w:rsid w:val="27851657"/>
    <w:rsid w:val="29C79F3D"/>
    <w:rsid w:val="2C6CF129"/>
    <w:rsid w:val="31B3CCFF"/>
    <w:rsid w:val="31EB3A28"/>
    <w:rsid w:val="32E26222"/>
    <w:rsid w:val="33F5FF26"/>
    <w:rsid w:val="37FEC7FF"/>
    <w:rsid w:val="38BF3E9B"/>
    <w:rsid w:val="3992EAB1"/>
    <w:rsid w:val="3AFF2379"/>
    <w:rsid w:val="3B483E95"/>
    <w:rsid w:val="3C0973DB"/>
    <w:rsid w:val="3D30417A"/>
    <w:rsid w:val="3E3B57C0"/>
    <w:rsid w:val="3F9C2CF7"/>
    <w:rsid w:val="427CCF30"/>
    <w:rsid w:val="437ED48E"/>
    <w:rsid w:val="43D85547"/>
    <w:rsid w:val="444F657A"/>
    <w:rsid w:val="45880E14"/>
    <w:rsid w:val="4AD9D70B"/>
    <w:rsid w:val="4AE7C2F3"/>
    <w:rsid w:val="50E3DDD5"/>
    <w:rsid w:val="5220C43E"/>
    <w:rsid w:val="531941E6"/>
    <w:rsid w:val="536B00F0"/>
    <w:rsid w:val="5CE1A469"/>
    <w:rsid w:val="5DBB94A5"/>
    <w:rsid w:val="6084A5F5"/>
    <w:rsid w:val="60991096"/>
    <w:rsid w:val="621442B3"/>
    <w:rsid w:val="630E2718"/>
    <w:rsid w:val="664A9BA5"/>
    <w:rsid w:val="67C0031E"/>
    <w:rsid w:val="68A7D64A"/>
    <w:rsid w:val="6F335428"/>
    <w:rsid w:val="72B0BB73"/>
    <w:rsid w:val="73E4F4C3"/>
    <w:rsid w:val="77D9659A"/>
    <w:rsid w:val="7A628BD5"/>
    <w:rsid w:val="7B15C672"/>
    <w:rsid w:val="7CB10C10"/>
    <w:rsid w:val="7CB5399C"/>
    <w:rsid w:val="7D32F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643915"/>
  <w14:defaultImageDpi w14:val="300"/>
  <w15:docId w15:val="{0F17942A-81A1-4299-8044-BB95A8A71C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DF77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541B22804CFF4794C652755B97D541" ma:contentTypeVersion="14" ma:contentTypeDescription="Create a new document." ma:contentTypeScope="" ma:versionID="a56d20538cef2ec8eabae045bba23c39">
  <xsd:schema xmlns:xsd="http://www.w3.org/2001/XMLSchema" xmlns:xs="http://www.w3.org/2001/XMLSchema" xmlns:p="http://schemas.microsoft.com/office/2006/metadata/properties" xmlns:ns2="a67e092e-12f5-45b9-afce-e2af5935d00a" xmlns:ns3="60ea958f-7e9c-4d99-81b6-c74e5e58a68a" targetNamespace="http://schemas.microsoft.com/office/2006/metadata/properties" ma:root="true" ma:fieldsID="c3e64915a2e6f8b853fc859bfa22c8c9" ns2:_="" ns3:_="">
    <xsd:import namespace="a67e092e-12f5-45b9-afce-e2af5935d00a"/>
    <xsd:import namespace="60ea958f-7e9c-4d99-81b6-c74e5e58a6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e092e-12f5-45b9-afce-e2af5935d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aabad1b-d29f-4535-a4fd-e790a0fa6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a958f-7e9c-4d99-81b6-c74e5e58a6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0b074f2-4466-43f5-bca0-c131a4b01c3a}" ma:internalName="TaxCatchAll" ma:showField="CatchAllData" ma:web="60ea958f-7e9c-4d99-81b6-c74e5e58a6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e092e-12f5-45b9-afce-e2af5935d00a">
      <Terms xmlns="http://schemas.microsoft.com/office/infopath/2007/PartnerControls"/>
    </lcf76f155ced4ddcb4097134ff3c332f>
    <TaxCatchAll xmlns="60ea958f-7e9c-4d99-81b6-c74e5e58a6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1EDD7D-F422-4FF1-A298-A5C15AD986AF}"/>
</file>

<file path=customXml/itemProps2.xml><?xml version="1.0" encoding="utf-8"?>
<ds:datastoreItem xmlns:ds="http://schemas.openxmlformats.org/officeDocument/2006/customXml" ds:itemID="{2097EDD7-8FA6-41F1-A234-63CDDB1EF4CC}">
  <ds:schemaRefs>
    <ds:schemaRef ds:uri="http://schemas.microsoft.com/office/2006/metadata/properties"/>
    <ds:schemaRef ds:uri="http://schemas.microsoft.com/office/infopath/2007/PartnerControls"/>
    <ds:schemaRef ds:uri="7f2f8a6d-0cb5-4964-8fe4-ae2085b30db1"/>
  </ds:schemaRefs>
</ds:datastoreItem>
</file>

<file path=customXml/itemProps3.xml><?xml version="1.0" encoding="utf-8"?>
<ds:datastoreItem xmlns:ds="http://schemas.openxmlformats.org/officeDocument/2006/customXml" ds:itemID="{7AA182F8-E9C4-46D9-8857-C6F142FF62B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8040095-716d-4e49-b783-b5f746eea8b3}" enabled="0" method="" siteId="{a8040095-716d-4e49-b783-b5f746eea8b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Morin, Matthew</cp:lastModifiedBy>
  <cp:revision>46</cp:revision>
  <dcterms:created xsi:type="dcterms:W3CDTF">2026-02-13T22:50:00Z</dcterms:created>
  <dcterms:modified xsi:type="dcterms:W3CDTF">2026-09-23T17:49:16Z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0x01010034541B22804CFF4794C652755B97D541</vt:lpwstr>
  </property>
</Properties>
</file>