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254" w14:textId="77777777" w:rsidR="00A20297" w:rsidRDefault="00A20297">
      <w:pPr>
        <w:jc w:val="center"/>
        <w:rPr>
          <w:b/>
          <w:sz w:val="36"/>
        </w:rPr>
      </w:pPr>
      <w:r>
        <w:rPr>
          <w:rFonts w:ascii="Times New Roman"/>
          <w:noProof/>
          <w:sz w:val="20"/>
        </w:rPr>
        <w:drawing>
          <wp:inline distT="0" distB="0" distL="0" distR="0" wp14:anchorId="6A118BFA" wp14:editId="3E33EBE8">
            <wp:extent cx="1671625" cy="55721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671625" cy="557212"/>
                    </a:xfrm>
                    <a:prstGeom prst="rect">
                      <a:avLst/>
                    </a:prstGeom>
                  </pic:spPr>
                </pic:pic>
              </a:graphicData>
            </a:graphic>
          </wp:inline>
        </w:drawing>
      </w:r>
    </w:p>
    <w:p w14:paraId="75ABCA97" w14:textId="77777777" w:rsidR="00A20297" w:rsidRPr="00A20297" w:rsidRDefault="00A20297" w:rsidP="00A20297">
      <w:pPr>
        <w:widowControl w:val="0"/>
        <w:autoSpaceDE w:val="0"/>
        <w:autoSpaceDN w:val="0"/>
        <w:spacing w:before="65" w:after="0" w:line="240" w:lineRule="auto"/>
        <w:rPr>
          <w:rFonts w:ascii="Calibri" w:eastAsia="Calibri" w:hAnsi="Calibri" w:cs="Calibri"/>
          <w:sz w:val="26"/>
        </w:rPr>
      </w:pPr>
    </w:p>
    <w:p w14:paraId="5A87FB0A" w14:textId="77777777" w:rsidR="00A20297" w:rsidRPr="00A20297" w:rsidRDefault="00A20297" w:rsidP="00A20297">
      <w:pPr>
        <w:widowControl w:val="0"/>
        <w:autoSpaceDE w:val="0"/>
        <w:autoSpaceDN w:val="0"/>
        <w:spacing w:after="0" w:line="240" w:lineRule="auto"/>
        <w:ind w:left="3" w:right="3"/>
        <w:jc w:val="center"/>
        <w:outlineLvl w:val="1"/>
        <w:rPr>
          <w:rFonts w:ascii="Calibri" w:eastAsia="Calibri" w:hAnsi="Calibri" w:cs="Calibri"/>
          <w:b/>
          <w:bCs/>
          <w:sz w:val="26"/>
          <w:szCs w:val="26"/>
        </w:rPr>
      </w:pPr>
      <w:r w:rsidRPr="00A20297">
        <w:rPr>
          <w:rFonts w:ascii="Calibri" w:eastAsia="Calibri" w:hAnsi="Calibri" w:cs="Calibri"/>
          <w:b/>
          <w:bCs/>
          <w:sz w:val="26"/>
          <w:szCs w:val="26"/>
        </w:rPr>
        <w:t>SANTA</w:t>
      </w:r>
      <w:r w:rsidRPr="00A20297">
        <w:rPr>
          <w:rFonts w:ascii="Calibri" w:eastAsia="Calibri" w:hAnsi="Calibri" w:cs="Calibri"/>
          <w:b/>
          <w:bCs/>
          <w:spacing w:val="-6"/>
          <w:sz w:val="26"/>
          <w:szCs w:val="26"/>
        </w:rPr>
        <w:t xml:space="preserve"> </w:t>
      </w:r>
      <w:r w:rsidRPr="00A20297">
        <w:rPr>
          <w:rFonts w:ascii="Calibri" w:eastAsia="Calibri" w:hAnsi="Calibri" w:cs="Calibri"/>
          <w:b/>
          <w:bCs/>
          <w:sz w:val="26"/>
          <w:szCs w:val="26"/>
        </w:rPr>
        <w:t>ANA</w:t>
      </w:r>
      <w:r w:rsidRPr="00A20297">
        <w:rPr>
          <w:rFonts w:ascii="Calibri" w:eastAsia="Calibri" w:hAnsi="Calibri" w:cs="Calibri"/>
          <w:b/>
          <w:bCs/>
          <w:spacing w:val="-6"/>
          <w:sz w:val="26"/>
          <w:szCs w:val="26"/>
        </w:rPr>
        <w:t xml:space="preserve"> </w:t>
      </w:r>
      <w:r w:rsidRPr="00A20297">
        <w:rPr>
          <w:rFonts w:ascii="Calibri" w:eastAsia="Calibri" w:hAnsi="Calibri" w:cs="Calibri"/>
          <w:b/>
          <w:bCs/>
          <w:spacing w:val="-2"/>
          <w:sz w:val="26"/>
          <w:szCs w:val="26"/>
        </w:rPr>
        <w:t>COLLEGE</w:t>
      </w:r>
    </w:p>
    <w:p w14:paraId="2DB695F6" w14:textId="77777777" w:rsidR="00A20297" w:rsidRPr="00A20297" w:rsidRDefault="00A20297" w:rsidP="00A20297">
      <w:pPr>
        <w:widowControl w:val="0"/>
        <w:autoSpaceDE w:val="0"/>
        <w:autoSpaceDN w:val="0"/>
        <w:spacing w:before="2" w:after="0" w:line="317" w:lineRule="exact"/>
        <w:ind w:left="3" w:right="5"/>
        <w:jc w:val="center"/>
        <w:rPr>
          <w:rFonts w:ascii="Calibri" w:eastAsia="Calibri" w:hAnsi="Calibri" w:cs="Calibri"/>
          <w:b/>
          <w:sz w:val="26"/>
        </w:rPr>
      </w:pPr>
      <w:r w:rsidRPr="00A20297">
        <w:rPr>
          <w:rFonts w:ascii="Calibri" w:eastAsia="Calibri" w:hAnsi="Calibri" w:cs="Calibri"/>
          <w:b/>
          <w:sz w:val="26"/>
        </w:rPr>
        <w:t>Enrollment</w:t>
      </w:r>
      <w:r w:rsidRPr="00A20297">
        <w:rPr>
          <w:rFonts w:ascii="Calibri" w:eastAsia="Calibri" w:hAnsi="Calibri" w:cs="Calibri"/>
          <w:b/>
          <w:spacing w:val="-13"/>
          <w:sz w:val="26"/>
        </w:rPr>
        <w:t xml:space="preserve"> </w:t>
      </w:r>
      <w:r w:rsidRPr="00A20297">
        <w:rPr>
          <w:rFonts w:ascii="Calibri" w:eastAsia="Calibri" w:hAnsi="Calibri" w:cs="Calibri"/>
          <w:b/>
          <w:sz w:val="26"/>
        </w:rPr>
        <w:t>Management</w:t>
      </w:r>
      <w:r w:rsidRPr="00A20297">
        <w:rPr>
          <w:rFonts w:ascii="Calibri" w:eastAsia="Calibri" w:hAnsi="Calibri" w:cs="Calibri"/>
          <w:b/>
          <w:spacing w:val="-14"/>
          <w:sz w:val="26"/>
        </w:rPr>
        <w:t xml:space="preserve"> </w:t>
      </w:r>
      <w:r w:rsidRPr="00A20297">
        <w:rPr>
          <w:rFonts w:ascii="Calibri" w:eastAsia="Calibri" w:hAnsi="Calibri" w:cs="Calibri"/>
          <w:b/>
          <w:spacing w:val="-2"/>
          <w:sz w:val="26"/>
        </w:rPr>
        <w:t>Committee</w:t>
      </w:r>
    </w:p>
    <w:p w14:paraId="50A3C459" w14:textId="77777777" w:rsidR="00A20297" w:rsidRPr="00A20297" w:rsidRDefault="00A20297" w:rsidP="00A20297">
      <w:pPr>
        <w:widowControl w:val="0"/>
        <w:autoSpaceDE w:val="0"/>
        <w:autoSpaceDN w:val="0"/>
        <w:spacing w:after="0" w:line="240" w:lineRule="auto"/>
        <w:ind w:left="3458" w:right="3458"/>
        <w:jc w:val="center"/>
        <w:rPr>
          <w:rFonts w:ascii="Calibri" w:eastAsia="Calibri" w:hAnsi="Calibri" w:cs="Calibri"/>
          <w:sz w:val="24"/>
          <w:szCs w:val="24"/>
        </w:rPr>
      </w:pPr>
      <w:r w:rsidRPr="00A20297">
        <w:rPr>
          <w:rFonts w:ascii="Calibri" w:eastAsia="Calibri" w:hAnsi="Calibri" w:cs="Calibri"/>
          <w:sz w:val="24"/>
          <w:szCs w:val="24"/>
        </w:rPr>
        <w:t>Tuesday,</w:t>
      </w:r>
      <w:r w:rsidRPr="00A20297">
        <w:rPr>
          <w:rFonts w:ascii="Calibri" w:eastAsia="Calibri" w:hAnsi="Calibri" w:cs="Calibri"/>
          <w:spacing w:val="-14"/>
          <w:sz w:val="24"/>
          <w:szCs w:val="24"/>
        </w:rPr>
        <w:t xml:space="preserve"> </w:t>
      </w:r>
      <w:r w:rsidRPr="00A20297">
        <w:rPr>
          <w:rFonts w:ascii="Calibri" w:eastAsia="Calibri" w:hAnsi="Calibri" w:cs="Calibri"/>
          <w:sz w:val="24"/>
          <w:szCs w:val="24"/>
        </w:rPr>
        <w:t>September 15,</w:t>
      </w:r>
      <w:r w:rsidRPr="00A20297">
        <w:rPr>
          <w:rFonts w:ascii="Calibri" w:eastAsia="Calibri" w:hAnsi="Calibri" w:cs="Calibri"/>
          <w:spacing w:val="-12"/>
          <w:sz w:val="24"/>
          <w:szCs w:val="24"/>
        </w:rPr>
        <w:t xml:space="preserve"> </w:t>
      </w:r>
      <w:proofErr w:type="gramStart"/>
      <w:r w:rsidRPr="00A20297">
        <w:rPr>
          <w:rFonts w:ascii="Calibri" w:eastAsia="Calibri" w:hAnsi="Calibri" w:cs="Calibri"/>
          <w:sz w:val="24"/>
          <w:szCs w:val="24"/>
        </w:rPr>
        <w:t>2026</w:t>
      </w:r>
      <w:proofErr w:type="gramEnd"/>
      <w:r w:rsidRPr="00A20297">
        <w:rPr>
          <w:rFonts w:ascii="Calibri" w:eastAsia="Calibri" w:hAnsi="Calibri" w:cs="Calibri"/>
          <w:sz w:val="24"/>
          <w:szCs w:val="24"/>
        </w:rPr>
        <w:t xml:space="preserve"> 3:30pm – 5:00pm</w:t>
      </w:r>
    </w:p>
    <w:p w14:paraId="35B07D33" w14:textId="77777777" w:rsidR="00A20297" w:rsidRPr="00A20297" w:rsidRDefault="00A20297" w:rsidP="00A20297">
      <w:pPr>
        <w:widowControl w:val="0"/>
        <w:autoSpaceDE w:val="0"/>
        <w:autoSpaceDN w:val="0"/>
        <w:spacing w:after="0" w:line="316" w:lineRule="exact"/>
        <w:ind w:left="3" w:right="3"/>
        <w:jc w:val="center"/>
        <w:rPr>
          <w:rFonts w:ascii="Calibri" w:eastAsia="Calibri" w:hAnsi="Calibri" w:cs="Calibri"/>
          <w:sz w:val="24"/>
          <w:szCs w:val="24"/>
        </w:rPr>
      </w:pPr>
      <w:r w:rsidRPr="00A20297">
        <w:rPr>
          <w:rFonts w:ascii="Calibri" w:eastAsia="Calibri" w:hAnsi="Calibri" w:cs="Calibri"/>
          <w:sz w:val="24"/>
          <w:szCs w:val="24"/>
        </w:rPr>
        <w:t>Zoom:</w:t>
      </w:r>
      <w:r w:rsidRPr="00A20297">
        <w:rPr>
          <w:rFonts w:ascii="Calibri" w:eastAsia="Calibri" w:hAnsi="Calibri" w:cs="Calibri"/>
          <w:spacing w:val="31"/>
          <w:sz w:val="24"/>
          <w:szCs w:val="24"/>
        </w:rPr>
        <w:t xml:space="preserve"> </w:t>
      </w:r>
      <w:r w:rsidRPr="00A20297">
        <w:rPr>
          <w:rFonts w:ascii="Calibri" w:eastAsia="Calibri" w:hAnsi="Calibri" w:cs="Calibri"/>
          <w:sz w:val="24"/>
          <w:szCs w:val="24"/>
        </w:rPr>
        <w:t xml:space="preserve">(https://rsccd-edu.zoom.us/j/85101488698) </w:t>
      </w:r>
    </w:p>
    <w:p w14:paraId="4EBFD276" w14:textId="05229477" w:rsidR="00A20297" w:rsidRDefault="00A20297" w:rsidP="00A20297">
      <w:pPr>
        <w:widowControl w:val="0"/>
        <w:autoSpaceDE w:val="0"/>
        <w:autoSpaceDN w:val="0"/>
        <w:spacing w:before="293" w:after="0" w:line="240" w:lineRule="auto"/>
        <w:jc w:val="center"/>
        <w:rPr>
          <w:rFonts w:ascii="Calibri" w:eastAsia="Calibri" w:hAnsi="Calibri" w:cs="Calibri"/>
          <w:b/>
          <w:bCs/>
          <w:sz w:val="24"/>
          <w:szCs w:val="24"/>
          <w:u w:val="single"/>
        </w:rPr>
      </w:pPr>
      <w:r w:rsidRPr="00A20297">
        <w:rPr>
          <w:rFonts w:ascii="Calibri" w:eastAsia="Calibri" w:hAnsi="Calibri" w:cs="Calibri"/>
          <w:b/>
          <w:bCs/>
          <w:sz w:val="24"/>
          <w:szCs w:val="24"/>
          <w:u w:val="single"/>
        </w:rPr>
        <w:t>Minutes</w:t>
      </w:r>
    </w:p>
    <w:p w14:paraId="2F0F117B" w14:textId="794E68AD" w:rsidR="004841F3" w:rsidRDefault="004841F3" w:rsidP="004841F3">
      <w:pPr>
        <w:widowControl w:val="0"/>
        <w:autoSpaceDE w:val="0"/>
        <w:autoSpaceDN w:val="0"/>
        <w:spacing w:before="293" w:after="0" w:line="240" w:lineRule="auto"/>
        <w:rPr>
          <w:rFonts w:ascii="Calibri" w:eastAsia="Calibri" w:hAnsi="Calibri" w:cs="Calibri"/>
          <w:b/>
          <w:bCs/>
          <w:sz w:val="24"/>
          <w:szCs w:val="24"/>
          <w:u w:val="single"/>
        </w:rPr>
      </w:pPr>
      <w:r>
        <w:rPr>
          <w:rFonts w:ascii="Calibri" w:eastAsia="Calibri" w:hAnsi="Calibri" w:cs="Calibri"/>
          <w:b/>
          <w:bCs/>
          <w:sz w:val="24"/>
          <w:szCs w:val="24"/>
          <w:u w:val="single"/>
        </w:rPr>
        <w:t xml:space="preserve">Attendees: </w:t>
      </w:r>
    </w:p>
    <w:tbl>
      <w:tblPr>
        <w:tblpPr w:leftFromText="180" w:rightFromText="180" w:vertAnchor="text" w:tblpY="1"/>
        <w:tblOverlap w:val="never"/>
        <w:tblW w:w="9310" w:type="dxa"/>
        <w:tblLook w:val="04A0" w:firstRow="1" w:lastRow="0" w:firstColumn="1" w:lastColumn="0" w:noHBand="0" w:noVBand="1"/>
      </w:tblPr>
      <w:tblGrid>
        <w:gridCol w:w="3000"/>
        <w:gridCol w:w="2419"/>
        <w:gridCol w:w="2108"/>
        <w:gridCol w:w="1783"/>
      </w:tblGrid>
      <w:tr w:rsidR="004841F3" w:rsidRPr="004841F3" w14:paraId="194C431C" w14:textId="77777777" w:rsidTr="004841F3">
        <w:trPr>
          <w:trHeight w:val="247"/>
        </w:trPr>
        <w:tc>
          <w:tcPr>
            <w:tcW w:w="3000" w:type="dxa"/>
            <w:tcBorders>
              <w:top w:val="nil"/>
              <w:left w:val="nil"/>
              <w:bottom w:val="nil"/>
              <w:right w:val="nil"/>
            </w:tcBorders>
            <w:noWrap/>
            <w:vAlign w:val="bottom"/>
            <w:hideMark/>
          </w:tcPr>
          <w:p w14:paraId="2E0AFC73"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Greg Toya</w:t>
            </w:r>
          </w:p>
        </w:tc>
        <w:tc>
          <w:tcPr>
            <w:tcW w:w="2419" w:type="dxa"/>
            <w:tcBorders>
              <w:top w:val="nil"/>
              <w:left w:val="nil"/>
              <w:bottom w:val="nil"/>
              <w:right w:val="nil"/>
            </w:tcBorders>
            <w:noWrap/>
            <w:vAlign w:val="bottom"/>
            <w:hideMark/>
          </w:tcPr>
          <w:p w14:paraId="76839327"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Jay Nguyen</w:t>
            </w:r>
          </w:p>
        </w:tc>
        <w:tc>
          <w:tcPr>
            <w:tcW w:w="3891" w:type="dxa"/>
            <w:gridSpan w:val="2"/>
            <w:tcBorders>
              <w:top w:val="nil"/>
              <w:left w:val="nil"/>
              <w:bottom w:val="nil"/>
              <w:right w:val="nil"/>
            </w:tcBorders>
            <w:noWrap/>
            <w:vAlign w:val="bottom"/>
            <w:hideMark/>
          </w:tcPr>
          <w:p w14:paraId="30B13508"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Sean Small</w:t>
            </w:r>
          </w:p>
        </w:tc>
      </w:tr>
      <w:tr w:rsidR="004841F3" w:rsidRPr="004841F3" w14:paraId="4D102A3C" w14:textId="77777777" w:rsidTr="004841F3">
        <w:trPr>
          <w:gridAfter w:val="1"/>
          <w:wAfter w:w="1783" w:type="dxa"/>
          <w:trHeight w:val="247"/>
        </w:trPr>
        <w:tc>
          <w:tcPr>
            <w:tcW w:w="3000" w:type="dxa"/>
            <w:tcBorders>
              <w:top w:val="nil"/>
              <w:left w:val="nil"/>
              <w:bottom w:val="nil"/>
              <w:right w:val="nil"/>
            </w:tcBorders>
            <w:noWrap/>
            <w:vAlign w:val="bottom"/>
            <w:hideMark/>
          </w:tcPr>
          <w:p w14:paraId="1DB73C6D"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Jose Lopez Mercedes</w:t>
            </w:r>
          </w:p>
        </w:tc>
        <w:tc>
          <w:tcPr>
            <w:tcW w:w="2419" w:type="dxa"/>
            <w:tcBorders>
              <w:top w:val="nil"/>
              <w:left w:val="nil"/>
              <w:bottom w:val="nil"/>
              <w:right w:val="nil"/>
            </w:tcBorders>
            <w:noWrap/>
            <w:vAlign w:val="bottom"/>
            <w:hideMark/>
          </w:tcPr>
          <w:p w14:paraId="1995DE5E"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 xml:space="preserve">Jennie Beltrán </w:t>
            </w:r>
          </w:p>
        </w:tc>
        <w:tc>
          <w:tcPr>
            <w:tcW w:w="2108" w:type="dxa"/>
            <w:tcBorders>
              <w:top w:val="nil"/>
              <w:left w:val="nil"/>
              <w:bottom w:val="nil"/>
              <w:right w:val="nil"/>
            </w:tcBorders>
            <w:noWrap/>
            <w:vAlign w:val="bottom"/>
            <w:hideMark/>
          </w:tcPr>
          <w:p w14:paraId="25807B8A" w14:textId="2CFA36C3"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Xi</w:t>
            </w:r>
            <w:r>
              <w:rPr>
                <w:rFonts w:ascii="Aptos Narrow" w:eastAsia="Times New Roman" w:hAnsi="Aptos Narrow" w:cs="Times New Roman"/>
                <w:color w:val="000000"/>
                <w:sz w:val="22"/>
              </w:rPr>
              <w:t xml:space="preserve"> </w:t>
            </w:r>
            <w:r w:rsidRPr="004841F3">
              <w:rPr>
                <w:rFonts w:ascii="Aptos Narrow" w:eastAsia="Times New Roman" w:hAnsi="Aptos Narrow" w:cs="Times New Roman"/>
                <w:color w:val="000000"/>
                <w:sz w:val="22"/>
              </w:rPr>
              <w:t>Zhang</w:t>
            </w:r>
          </w:p>
        </w:tc>
      </w:tr>
      <w:tr w:rsidR="004841F3" w:rsidRPr="004841F3" w14:paraId="5D8068A3" w14:textId="77777777" w:rsidTr="004841F3">
        <w:trPr>
          <w:gridAfter w:val="1"/>
          <w:wAfter w:w="1783" w:type="dxa"/>
          <w:trHeight w:val="247"/>
        </w:trPr>
        <w:tc>
          <w:tcPr>
            <w:tcW w:w="3000" w:type="dxa"/>
            <w:tcBorders>
              <w:top w:val="nil"/>
              <w:left w:val="nil"/>
              <w:bottom w:val="nil"/>
              <w:right w:val="nil"/>
            </w:tcBorders>
            <w:noWrap/>
            <w:vAlign w:val="bottom"/>
            <w:hideMark/>
          </w:tcPr>
          <w:p w14:paraId="0031161E"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Lorena Chavez</w:t>
            </w:r>
          </w:p>
        </w:tc>
        <w:tc>
          <w:tcPr>
            <w:tcW w:w="2419" w:type="dxa"/>
            <w:tcBorders>
              <w:top w:val="nil"/>
              <w:left w:val="nil"/>
              <w:bottom w:val="nil"/>
              <w:right w:val="nil"/>
            </w:tcBorders>
            <w:noWrap/>
            <w:vAlign w:val="bottom"/>
            <w:hideMark/>
          </w:tcPr>
          <w:p w14:paraId="762A39F6"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Jennifer Valencia</w:t>
            </w:r>
          </w:p>
        </w:tc>
        <w:tc>
          <w:tcPr>
            <w:tcW w:w="2108" w:type="dxa"/>
            <w:tcBorders>
              <w:top w:val="nil"/>
              <w:left w:val="nil"/>
              <w:bottom w:val="nil"/>
              <w:right w:val="nil"/>
            </w:tcBorders>
            <w:noWrap/>
            <w:vAlign w:val="bottom"/>
            <w:hideMark/>
          </w:tcPr>
          <w:p w14:paraId="4CFE93FE"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22215C3E" w14:textId="77777777" w:rsidTr="004841F3">
        <w:trPr>
          <w:gridAfter w:val="1"/>
          <w:wAfter w:w="1783" w:type="dxa"/>
          <w:trHeight w:val="247"/>
        </w:trPr>
        <w:tc>
          <w:tcPr>
            <w:tcW w:w="3000" w:type="dxa"/>
            <w:tcBorders>
              <w:top w:val="nil"/>
              <w:left w:val="nil"/>
              <w:bottom w:val="nil"/>
              <w:right w:val="nil"/>
            </w:tcBorders>
            <w:noWrap/>
            <w:vAlign w:val="bottom"/>
            <w:hideMark/>
          </w:tcPr>
          <w:p w14:paraId="223B2E9A"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Maria Aguilar Beltrán</w:t>
            </w:r>
          </w:p>
        </w:tc>
        <w:tc>
          <w:tcPr>
            <w:tcW w:w="2419" w:type="dxa"/>
            <w:tcBorders>
              <w:top w:val="nil"/>
              <w:left w:val="nil"/>
              <w:bottom w:val="nil"/>
              <w:right w:val="nil"/>
            </w:tcBorders>
            <w:noWrap/>
            <w:vAlign w:val="bottom"/>
            <w:hideMark/>
          </w:tcPr>
          <w:p w14:paraId="53778750"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John Tashima</w:t>
            </w:r>
          </w:p>
        </w:tc>
        <w:tc>
          <w:tcPr>
            <w:tcW w:w="2108" w:type="dxa"/>
            <w:tcBorders>
              <w:top w:val="nil"/>
              <w:left w:val="nil"/>
              <w:bottom w:val="nil"/>
              <w:right w:val="nil"/>
            </w:tcBorders>
            <w:noWrap/>
            <w:vAlign w:val="bottom"/>
            <w:hideMark/>
          </w:tcPr>
          <w:p w14:paraId="2B8ED8D6"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1837FC0E" w14:textId="77777777" w:rsidTr="004841F3">
        <w:trPr>
          <w:gridAfter w:val="1"/>
          <w:wAfter w:w="1783" w:type="dxa"/>
          <w:trHeight w:val="247"/>
        </w:trPr>
        <w:tc>
          <w:tcPr>
            <w:tcW w:w="3000" w:type="dxa"/>
            <w:tcBorders>
              <w:top w:val="nil"/>
              <w:left w:val="nil"/>
              <w:bottom w:val="nil"/>
              <w:right w:val="nil"/>
            </w:tcBorders>
            <w:noWrap/>
            <w:vAlign w:val="bottom"/>
            <w:hideMark/>
          </w:tcPr>
          <w:p w14:paraId="74DC6979"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Maria Dela Cruz</w:t>
            </w:r>
          </w:p>
        </w:tc>
        <w:tc>
          <w:tcPr>
            <w:tcW w:w="2419" w:type="dxa"/>
            <w:tcBorders>
              <w:top w:val="nil"/>
              <w:left w:val="nil"/>
              <w:bottom w:val="nil"/>
              <w:right w:val="nil"/>
            </w:tcBorders>
            <w:noWrap/>
            <w:vAlign w:val="bottom"/>
            <w:hideMark/>
          </w:tcPr>
          <w:p w14:paraId="46C73494"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Kristen Robinson</w:t>
            </w:r>
          </w:p>
        </w:tc>
        <w:tc>
          <w:tcPr>
            <w:tcW w:w="2108" w:type="dxa"/>
            <w:tcBorders>
              <w:top w:val="nil"/>
              <w:left w:val="nil"/>
              <w:bottom w:val="nil"/>
              <w:right w:val="nil"/>
            </w:tcBorders>
            <w:noWrap/>
            <w:vAlign w:val="bottom"/>
            <w:hideMark/>
          </w:tcPr>
          <w:p w14:paraId="6338E1B6"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2FB367ED" w14:textId="77777777" w:rsidTr="004841F3">
        <w:trPr>
          <w:gridAfter w:val="1"/>
          <w:wAfter w:w="1783" w:type="dxa"/>
          <w:trHeight w:val="247"/>
        </w:trPr>
        <w:tc>
          <w:tcPr>
            <w:tcW w:w="3000" w:type="dxa"/>
            <w:tcBorders>
              <w:top w:val="nil"/>
              <w:left w:val="nil"/>
              <w:bottom w:val="nil"/>
              <w:right w:val="nil"/>
            </w:tcBorders>
            <w:noWrap/>
            <w:vAlign w:val="bottom"/>
            <w:hideMark/>
          </w:tcPr>
          <w:p w14:paraId="36CD5F02"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Marvin Gabut</w:t>
            </w:r>
          </w:p>
        </w:tc>
        <w:tc>
          <w:tcPr>
            <w:tcW w:w="2419" w:type="dxa"/>
            <w:tcBorders>
              <w:top w:val="nil"/>
              <w:left w:val="nil"/>
              <w:bottom w:val="nil"/>
              <w:right w:val="nil"/>
            </w:tcBorders>
            <w:noWrap/>
            <w:vAlign w:val="bottom"/>
            <w:hideMark/>
          </w:tcPr>
          <w:p w14:paraId="7FC292DC"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Lorena Valencia</w:t>
            </w:r>
          </w:p>
        </w:tc>
        <w:tc>
          <w:tcPr>
            <w:tcW w:w="2108" w:type="dxa"/>
            <w:tcBorders>
              <w:top w:val="nil"/>
              <w:left w:val="nil"/>
              <w:bottom w:val="nil"/>
              <w:right w:val="nil"/>
            </w:tcBorders>
            <w:noWrap/>
            <w:vAlign w:val="bottom"/>
            <w:hideMark/>
          </w:tcPr>
          <w:p w14:paraId="6688F888"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4D01CFF9" w14:textId="77777777" w:rsidTr="004841F3">
        <w:trPr>
          <w:gridAfter w:val="1"/>
          <w:wAfter w:w="1783" w:type="dxa"/>
          <w:trHeight w:val="247"/>
        </w:trPr>
        <w:tc>
          <w:tcPr>
            <w:tcW w:w="3000" w:type="dxa"/>
            <w:tcBorders>
              <w:top w:val="nil"/>
              <w:left w:val="nil"/>
              <w:bottom w:val="nil"/>
              <w:right w:val="nil"/>
            </w:tcBorders>
            <w:noWrap/>
            <w:vAlign w:val="bottom"/>
            <w:hideMark/>
          </w:tcPr>
          <w:p w14:paraId="10A6C5DE"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Matthew Morin</w:t>
            </w:r>
          </w:p>
        </w:tc>
        <w:tc>
          <w:tcPr>
            <w:tcW w:w="2419" w:type="dxa"/>
            <w:tcBorders>
              <w:top w:val="nil"/>
              <w:left w:val="nil"/>
              <w:bottom w:val="nil"/>
              <w:right w:val="nil"/>
            </w:tcBorders>
            <w:noWrap/>
            <w:vAlign w:val="bottom"/>
            <w:hideMark/>
          </w:tcPr>
          <w:p w14:paraId="69019629"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Mark DeAsis</w:t>
            </w:r>
          </w:p>
        </w:tc>
        <w:tc>
          <w:tcPr>
            <w:tcW w:w="2108" w:type="dxa"/>
            <w:tcBorders>
              <w:top w:val="nil"/>
              <w:left w:val="nil"/>
              <w:bottom w:val="nil"/>
              <w:right w:val="nil"/>
            </w:tcBorders>
            <w:noWrap/>
            <w:vAlign w:val="bottom"/>
            <w:hideMark/>
          </w:tcPr>
          <w:p w14:paraId="7CEA8BCA"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156A5774" w14:textId="77777777" w:rsidTr="004841F3">
        <w:trPr>
          <w:gridAfter w:val="1"/>
          <w:wAfter w:w="1783" w:type="dxa"/>
          <w:trHeight w:val="247"/>
        </w:trPr>
        <w:tc>
          <w:tcPr>
            <w:tcW w:w="3000" w:type="dxa"/>
            <w:tcBorders>
              <w:top w:val="nil"/>
              <w:left w:val="nil"/>
              <w:bottom w:val="nil"/>
              <w:right w:val="nil"/>
            </w:tcBorders>
            <w:noWrap/>
            <w:vAlign w:val="bottom"/>
            <w:hideMark/>
          </w:tcPr>
          <w:p w14:paraId="59946C95"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Prim, Jeremy</w:t>
            </w:r>
          </w:p>
        </w:tc>
        <w:tc>
          <w:tcPr>
            <w:tcW w:w="2419" w:type="dxa"/>
            <w:tcBorders>
              <w:top w:val="nil"/>
              <w:left w:val="nil"/>
              <w:bottom w:val="nil"/>
              <w:right w:val="nil"/>
            </w:tcBorders>
            <w:noWrap/>
            <w:vAlign w:val="bottom"/>
            <w:hideMark/>
          </w:tcPr>
          <w:p w14:paraId="2E1663E6"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Megan Lange</w:t>
            </w:r>
          </w:p>
        </w:tc>
        <w:tc>
          <w:tcPr>
            <w:tcW w:w="2108" w:type="dxa"/>
            <w:tcBorders>
              <w:top w:val="nil"/>
              <w:left w:val="nil"/>
              <w:bottom w:val="nil"/>
              <w:right w:val="nil"/>
            </w:tcBorders>
            <w:noWrap/>
            <w:vAlign w:val="bottom"/>
            <w:hideMark/>
          </w:tcPr>
          <w:p w14:paraId="2C034B3E"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1E6414F5" w14:textId="77777777" w:rsidTr="004841F3">
        <w:trPr>
          <w:gridAfter w:val="1"/>
          <w:wAfter w:w="1783" w:type="dxa"/>
          <w:trHeight w:val="247"/>
        </w:trPr>
        <w:tc>
          <w:tcPr>
            <w:tcW w:w="3000" w:type="dxa"/>
            <w:tcBorders>
              <w:top w:val="nil"/>
              <w:left w:val="nil"/>
              <w:bottom w:val="nil"/>
              <w:right w:val="nil"/>
            </w:tcBorders>
            <w:noWrap/>
            <w:vAlign w:val="bottom"/>
            <w:hideMark/>
          </w:tcPr>
          <w:p w14:paraId="2BA9AD05"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Dr. Vaniethia Hubbard</w:t>
            </w:r>
          </w:p>
        </w:tc>
        <w:tc>
          <w:tcPr>
            <w:tcW w:w="2419" w:type="dxa"/>
            <w:tcBorders>
              <w:top w:val="nil"/>
              <w:left w:val="nil"/>
              <w:bottom w:val="nil"/>
              <w:right w:val="nil"/>
            </w:tcBorders>
            <w:noWrap/>
            <w:vAlign w:val="bottom"/>
            <w:hideMark/>
          </w:tcPr>
          <w:p w14:paraId="275F7548"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Michelle Kimmel</w:t>
            </w:r>
          </w:p>
        </w:tc>
        <w:tc>
          <w:tcPr>
            <w:tcW w:w="2108" w:type="dxa"/>
            <w:tcBorders>
              <w:top w:val="nil"/>
              <w:left w:val="nil"/>
              <w:bottom w:val="nil"/>
              <w:right w:val="nil"/>
            </w:tcBorders>
            <w:noWrap/>
            <w:vAlign w:val="bottom"/>
            <w:hideMark/>
          </w:tcPr>
          <w:p w14:paraId="1423042E"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r w:rsidR="004841F3" w:rsidRPr="004841F3" w14:paraId="566C0BAC" w14:textId="77777777" w:rsidTr="004841F3">
        <w:trPr>
          <w:gridAfter w:val="1"/>
          <w:wAfter w:w="1783" w:type="dxa"/>
          <w:trHeight w:val="247"/>
        </w:trPr>
        <w:tc>
          <w:tcPr>
            <w:tcW w:w="3000" w:type="dxa"/>
            <w:tcBorders>
              <w:top w:val="nil"/>
              <w:left w:val="nil"/>
              <w:bottom w:val="nil"/>
              <w:right w:val="nil"/>
            </w:tcBorders>
            <w:noWrap/>
            <w:vAlign w:val="bottom"/>
            <w:hideMark/>
          </w:tcPr>
          <w:p w14:paraId="0084AFFB"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Huong Banh</w:t>
            </w:r>
          </w:p>
        </w:tc>
        <w:tc>
          <w:tcPr>
            <w:tcW w:w="2419" w:type="dxa"/>
            <w:tcBorders>
              <w:top w:val="nil"/>
              <w:left w:val="nil"/>
              <w:bottom w:val="nil"/>
              <w:right w:val="nil"/>
            </w:tcBorders>
            <w:noWrap/>
            <w:vAlign w:val="bottom"/>
            <w:hideMark/>
          </w:tcPr>
          <w:p w14:paraId="7D5FF3C4" w14:textId="77777777" w:rsidR="004841F3" w:rsidRPr="004841F3" w:rsidRDefault="004841F3" w:rsidP="004841F3">
            <w:pPr>
              <w:spacing w:after="0" w:line="240" w:lineRule="auto"/>
              <w:rPr>
                <w:rFonts w:ascii="Aptos Narrow" w:eastAsia="Times New Roman" w:hAnsi="Aptos Narrow" w:cs="Times New Roman"/>
                <w:color w:val="000000"/>
                <w:sz w:val="22"/>
              </w:rPr>
            </w:pPr>
            <w:r w:rsidRPr="004841F3">
              <w:rPr>
                <w:rFonts w:ascii="Aptos Narrow" w:eastAsia="Times New Roman" w:hAnsi="Aptos Narrow" w:cs="Times New Roman"/>
                <w:color w:val="000000"/>
                <w:sz w:val="22"/>
              </w:rPr>
              <w:t>Phoebe Sauber</w:t>
            </w:r>
          </w:p>
        </w:tc>
        <w:tc>
          <w:tcPr>
            <w:tcW w:w="2108" w:type="dxa"/>
            <w:tcBorders>
              <w:top w:val="nil"/>
              <w:left w:val="nil"/>
              <w:bottom w:val="nil"/>
              <w:right w:val="nil"/>
            </w:tcBorders>
            <w:noWrap/>
            <w:vAlign w:val="bottom"/>
            <w:hideMark/>
          </w:tcPr>
          <w:p w14:paraId="6517A043" w14:textId="77777777" w:rsidR="004841F3" w:rsidRPr="004841F3" w:rsidRDefault="004841F3" w:rsidP="004841F3">
            <w:pPr>
              <w:spacing w:after="0" w:line="240" w:lineRule="auto"/>
              <w:rPr>
                <w:rFonts w:ascii="Aptos Narrow" w:eastAsia="Times New Roman" w:hAnsi="Aptos Narrow" w:cs="Times New Roman"/>
                <w:color w:val="000000"/>
                <w:sz w:val="22"/>
              </w:rPr>
            </w:pPr>
          </w:p>
        </w:tc>
      </w:tr>
    </w:tbl>
    <w:p w14:paraId="74E171B2" w14:textId="7842672A" w:rsidR="004841F3" w:rsidRPr="00A20297" w:rsidRDefault="004841F3" w:rsidP="00A20297">
      <w:pPr>
        <w:widowControl w:val="0"/>
        <w:autoSpaceDE w:val="0"/>
        <w:autoSpaceDN w:val="0"/>
        <w:spacing w:before="293" w:after="0" w:line="240" w:lineRule="auto"/>
        <w:jc w:val="center"/>
        <w:rPr>
          <w:rFonts w:ascii="Calibri" w:eastAsia="Calibri" w:hAnsi="Calibri" w:cs="Calibri"/>
          <w:b/>
          <w:bCs/>
          <w:sz w:val="24"/>
          <w:szCs w:val="24"/>
          <w:u w:val="single"/>
        </w:rPr>
      </w:pPr>
      <w:r>
        <w:rPr>
          <w:rFonts w:ascii="Calibri" w:eastAsia="Calibri" w:hAnsi="Calibri" w:cs="Calibri"/>
          <w:b/>
          <w:bCs/>
          <w:sz w:val="24"/>
          <w:szCs w:val="24"/>
          <w:u w:val="single"/>
        </w:rPr>
        <w:br w:type="textWrapping" w:clear="all"/>
      </w:r>
    </w:p>
    <w:p w14:paraId="2C068D7E"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1. Information: Introductions and New Appointments</w:t>
      </w:r>
    </w:p>
    <w:p w14:paraId="40A18415" w14:textId="7CDD168B" w:rsidR="00CC67F9" w:rsidRPr="00A20297" w:rsidRDefault="00C12E56" w:rsidP="00A20297">
      <w:pPr>
        <w:rPr>
          <w:rFonts w:asciiTheme="majorHAnsi" w:hAnsiTheme="majorHAnsi" w:cstheme="majorHAnsi"/>
          <w:sz w:val="22"/>
        </w:rPr>
      </w:pPr>
      <w:r w:rsidRPr="00A20297">
        <w:rPr>
          <w:rFonts w:asciiTheme="majorHAnsi" w:hAnsiTheme="majorHAnsi" w:cstheme="majorHAnsi"/>
          <w:sz w:val="22"/>
        </w:rPr>
        <w:t xml:space="preserve">Lorena Chavez welcomed members to the first Enrollment Management Committee meeting of the 2026–27 academic year. Dr. Jose Lopez Mercedes was introduced as a new quad chair. Lorena Chavez, Mark DeAsis, and Matthew Morin continue as administrator co-chairs. </w:t>
      </w:r>
    </w:p>
    <w:p w14:paraId="0F54E755"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2. Public Comments</w:t>
      </w:r>
    </w:p>
    <w:p w14:paraId="473B6937" w14:textId="02E70520" w:rsidR="00CC67F9" w:rsidRPr="00A20297" w:rsidRDefault="00C12E56">
      <w:pPr>
        <w:rPr>
          <w:rFonts w:asciiTheme="majorHAnsi" w:hAnsiTheme="majorHAnsi" w:cstheme="majorHAnsi"/>
          <w:sz w:val="22"/>
        </w:rPr>
      </w:pPr>
      <w:r w:rsidRPr="00A20297">
        <w:rPr>
          <w:rFonts w:asciiTheme="majorHAnsi" w:hAnsiTheme="majorHAnsi" w:cstheme="majorHAnsi"/>
          <w:sz w:val="22"/>
        </w:rPr>
        <w:t>No public comments</w:t>
      </w:r>
      <w:r w:rsidRPr="00A20297">
        <w:rPr>
          <w:rFonts w:asciiTheme="majorHAnsi" w:hAnsiTheme="majorHAnsi" w:cstheme="majorHAnsi"/>
          <w:sz w:val="22"/>
        </w:rPr>
        <w:t>.</w:t>
      </w:r>
    </w:p>
    <w:p w14:paraId="4D404BCE"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3. Action: Review Minutes and Agenda</w:t>
      </w:r>
    </w:p>
    <w:p w14:paraId="14A72442" w14:textId="5B7B640D" w:rsidR="00CC67F9" w:rsidRPr="00A20297" w:rsidRDefault="00C12E56" w:rsidP="00A20297">
      <w:pPr>
        <w:rPr>
          <w:rFonts w:asciiTheme="majorHAnsi" w:hAnsiTheme="majorHAnsi" w:cstheme="majorHAnsi"/>
          <w:sz w:val="22"/>
        </w:rPr>
      </w:pPr>
      <w:r w:rsidRPr="00A20297">
        <w:rPr>
          <w:rFonts w:asciiTheme="majorHAnsi" w:hAnsiTheme="majorHAnsi" w:cstheme="majorHAnsi"/>
          <w:sz w:val="22"/>
        </w:rPr>
        <w:t xml:space="preserve">The agenda was presented and approved. </w:t>
      </w:r>
      <w:r w:rsidR="004841F3">
        <w:rPr>
          <w:rFonts w:asciiTheme="majorHAnsi" w:hAnsiTheme="majorHAnsi" w:cstheme="majorHAnsi"/>
          <w:sz w:val="22"/>
        </w:rPr>
        <w:t>M</w:t>
      </w:r>
      <w:r w:rsidRPr="00A20297">
        <w:rPr>
          <w:rFonts w:asciiTheme="majorHAnsi" w:hAnsiTheme="majorHAnsi" w:cstheme="majorHAnsi"/>
          <w:sz w:val="22"/>
        </w:rPr>
        <w:t xml:space="preserve">inutes were approved with abstentions from members who were not present at the prior meeting. </w:t>
      </w:r>
    </w:p>
    <w:p w14:paraId="6B26B5F1"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4. Information: Supplemental/Success Dashboard Review</w:t>
      </w:r>
    </w:p>
    <w:p w14:paraId="471EC0B5" w14:textId="77777777" w:rsidR="00CC67F9" w:rsidRPr="00A20297" w:rsidRDefault="00C12E56">
      <w:pPr>
        <w:rPr>
          <w:rFonts w:asciiTheme="majorHAnsi" w:hAnsiTheme="majorHAnsi" w:cstheme="majorHAnsi"/>
          <w:sz w:val="22"/>
        </w:rPr>
      </w:pPr>
      <w:r w:rsidRPr="00A20297">
        <w:rPr>
          <w:rFonts w:asciiTheme="majorHAnsi" w:hAnsiTheme="majorHAnsi" w:cstheme="majorHAnsi"/>
          <w:sz w:val="22"/>
        </w:rPr>
        <w:t>Mark DeAsis and Jay Nguyen reviewed the newly available Supplemental and Success Allocation dashboard. The dashboard is housed on SAC’s Research/Dashboards webpage and is intended to make Student-Centered Funding Formula (SCFF) supplemental and success metrics more visible and usable.</w:t>
      </w:r>
    </w:p>
    <w:p w14:paraId="01D3B7CC"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lastRenderedPageBreak/>
        <w:t>The dashboard includes 2025–26 data for CCPG, Pell, and AB 540-related supplemental metrics, as well as success measures such as degrees/certificates, transfer-level English and math, CTE unit completion, and transfer to four-year institutions.</w:t>
      </w:r>
    </w:p>
    <w:p w14:paraId="323ED0FF"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Summer and fall 2026 data will be added as the new academic year progresses. Transfer-to-four-year data for 2025–26 was still pending National Student Clearinghouse reporting and was expected later in the fall.</w:t>
      </w:r>
    </w:p>
    <w:p w14:paraId="2EE48FD8"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Jay reported that the transfer-level English/math numbers appeared lower than the district Exhibit C figures and was investigating possible causes, including student administrative-status data. The underlying records can be examined down to </w:t>
      </w:r>
      <w:proofErr w:type="gramStart"/>
      <w:r w:rsidRPr="00A20297">
        <w:rPr>
          <w:rFonts w:asciiTheme="majorHAnsi" w:hAnsiTheme="majorHAnsi" w:cstheme="majorHAnsi"/>
          <w:sz w:val="22"/>
        </w:rPr>
        <w:t>student</w:t>
      </w:r>
      <w:proofErr w:type="gramEnd"/>
      <w:r w:rsidRPr="00A20297">
        <w:rPr>
          <w:rFonts w:asciiTheme="majorHAnsi" w:hAnsiTheme="majorHAnsi" w:cstheme="majorHAnsi"/>
          <w:sz w:val="22"/>
        </w:rPr>
        <w:t xml:space="preserve">, </w:t>
      </w:r>
      <w:proofErr w:type="gramStart"/>
      <w:r w:rsidRPr="00A20297">
        <w:rPr>
          <w:rFonts w:asciiTheme="majorHAnsi" w:hAnsiTheme="majorHAnsi" w:cstheme="majorHAnsi"/>
          <w:sz w:val="22"/>
        </w:rPr>
        <w:t>term</w:t>
      </w:r>
      <w:proofErr w:type="gramEnd"/>
      <w:r w:rsidRPr="00A20297">
        <w:rPr>
          <w:rFonts w:asciiTheme="majorHAnsi" w:hAnsiTheme="majorHAnsi" w:cstheme="majorHAnsi"/>
          <w:sz w:val="22"/>
        </w:rPr>
        <w:t xml:space="preserve">, course, and </w:t>
      </w:r>
      <w:proofErr w:type="gramStart"/>
      <w:r w:rsidRPr="00A20297">
        <w:rPr>
          <w:rFonts w:asciiTheme="majorHAnsi" w:hAnsiTheme="majorHAnsi" w:cstheme="majorHAnsi"/>
          <w:sz w:val="22"/>
        </w:rPr>
        <w:t>grade</w:t>
      </w:r>
      <w:proofErr w:type="gramEnd"/>
      <w:r w:rsidRPr="00A20297">
        <w:rPr>
          <w:rFonts w:asciiTheme="majorHAnsi" w:hAnsiTheme="majorHAnsi" w:cstheme="majorHAnsi"/>
          <w:sz w:val="22"/>
        </w:rPr>
        <w:t>.</w:t>
      </w:r>
    </w:p>
    <w:p w14:paraId="116F2DB5"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A possible future dashboard enhancement is a list/filter for students who are close to meeting success metrics—for example, students one requirement away from completing a CTE-unit threshold—so appropriate outreach and support could occur.</w:t>
      </w:r>
    </w:p>
    <w:p w14:paraId="7139433B"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committee discussed using the dashboard in program review and for student-services and academic-area planning. Because SCFF success metrics use an unduplicated/hierarchical student count, directly assigning credit to multiple programs or service areas can be difficult.</w:t>
      </w:r>
    </w:p>
    <w:p w14:paraId="3CD51D67"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discussion also raised the possibility of identifying divisions or areas associated with completions so academic and student-services contributions can be better understood.</w:t>
      </w:r>
    </w:p>
    <w:p w14:paraId="56D5D2B5"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No final campus-wide targets for supplemental/success metrics were established. Mark proposed continued discussion about whether Student Services should establish area-specific targets, and Matthew Morin noted that Academic Affairs should also consider targets, including instructional support.</w:t>
      </w:r>
    </w:p>
    <w:p w14:paraId="64013EDF"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5. Information: FTES Dashboard Discussion</w:t>
      </w:r>
    </w:p>
    <w:p w14:paraId="1ED5D80A" w14:textId="77777777" w:rsidR="00CC67F9" w:rsidRPr="00A20297" w:rsidRDefault="00C12E56">
      <w:pPr>
        <w:rPr>
          <w:rFonts w:asciiTheme="majorHAnsi" w:hAnsiTheme="majorHAnsi" w:cstheme="majorHAnsi"/>
          <w:sz w:val="22"/>
        </w:rPr>
      </w:pPr>
      <w:r w:rsidRPr="00A20297">
        <w:rPr>
          <w:rFonts w:asciiTheme="majorHAnsi" w:hAnsiTheme="majorHAnsi" w:cstheme="majorHAnsi"/>
          <w:sz w:val="22"/>
        </w:rPr>
        <w:t>Matthew Morin introduced a planned FTES dashboard that would complement the SCFF dashboard by showing FTES through an apportionment-focused lens, including categories that receive different apportionment treatment.</w:t>
      </w:r>
    </w:p>
    <w:p w14:paraId="0CCDC81C"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For 2025–26, overall college FTES was 23,285.89 against a college target of 22,532, exceeding the target by 3.35%.</w:t>
      </w:r>
    </w:p>
    <w:p w14:paraId="4D8290CB"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Summer 2026 credit FTES had a target of 1,850 and actual enrollment of 2,064 FTES.</w:t>
      </w:r>
    </w:p>
    <w:p w14:paraId="24F9A58C"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fall 2026 credit target is 6,440 FTES. As of September 15, the Daily Enrollment Report showed 5,137.16 FTES, or approximately 80% of the target.</w:t>
      </w:r>
    </w:p>
    <w:p w14:paraId="1850B19F"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fall target was intentionally held approximately flat with the prior fall because of previously unfunded FTES; the discussion emphasized efficiency and funded enrollment rather than growth for its own sake.</w:t>
      </w:r>
    </w:p>
    <w:p w14:paraId="6ABAD85B"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planned dashboard would allow divisions/departments to see FTES by apportionment category and support more data-informed local and district discussions.</w:t>
      </w:r>
    </w:p>
    <w:p w14:paraId="1D0B12B9"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existing schedule-</w:t>
      </w:r>
      <w:proofErr w:type="gramStart"/>
      <w:r w:rsidRPr="00A20297">
        <w:rPr>
          <w:rFonts w:asciiTheme="majorHAnsi" w:hAnsiTheme="majorHAnsi" w:cstheme="majorHAnsi"/>
          <w:sz w:val="22"/>
        </w:rPr>
        <w:t>build</w:t>
      </w:r>
      <w:proofErr w:type="gramEnd"/>
      <w:r w:rsidRPr="00A20297">
        <w:rPr>
          <w:rFonts w:asciiTheme="majorHAnsi" w:hAnsiTheme="majorHAnsi" w:cstheme="majorHAnsi"/>
          <w:sz w:val="22"/>
        </w:rPr>
        <w:t xml:space="preserve"> 'sandbox' will be modified by the research team to be more user-friendly and to support faculty- and dean-driven target setting based on the schedule being built.</w:t>
      </w:r>
    </w:p>
    <w:p w14:paraId="4CD9F9C1"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The committee also discussed the importance of incorporating student education plans into scheduling so that </w:t>
      </w:r>
      <w:proofErr w:type="gramStart"/>
      <w:r w:rsidRPr="00A20297">
        <w:rPr>
          <w:rFonts w:asciiTheme="majorHAnsi" w:hAnsiTheme="majorHAnsi" w:cstheme="majorHAnsi"/>
          <w:sz w:val="22"/>
        </w:rPr>
        <w:t>needed courses</w:t>
      </w:r>
      <w:proofErr w:type="gramEnd"/>
      <w:r w:rsidRPr="00A20297">
        <w:rPr>
          <w:rFonts w:asciiTheme="majorHAnsi" w:hAnsiTheme="majorHAnsi" w:cstheme="majorHAnsi"/>
          <w:sz w:val="22"/>
        </w:rPr>
        <w:t xml:space="preserve"> are available in time for students to complete their pathways.</w:t>
      </w:r>
    </w:p>
    <w:p w14:paraId="614F43F1"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proposed FTES dashboard shown in the meeting was a conceptual mock-up. The dollar values displayed were explicitly described as illustrative and not vetted or actual figures.</w:t>
      </w:r>
    </w:p>
    <w:p w14:paraId="38EE64CB"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6. Information: EMA Debrief</w:t>
      </w:r>
    </w:p>
    <w:p w14:paraId="2C9D9D55" w14:textId="77777777" w:rsidR="00CC67F9" w:rsidRPr="00A20297" w:rsidRDefault="00C12E56">
      <w:pPr>
        <w:rPr>
          <w:rFonts w:asciiTheme="majorHAnsi" w:hAnsiTheme="majorHAnsi" w:cstheme="majorHAnsi"/>
          <w:sz w:val="22"/>
        </w:rPr>
      </w:pPr>
      <w:r w:rsidRPr="00A20297">
        <w:rPr>
          <w:rFonts w:asciiTheme="majorHAnsi" w:hAnsiTheme="majorHAnsi" w:cstheme="majorHAnsi"/>
          <w:sz w:val="22"/>
        </w:rPr>
        <w:t xml:space="preserve">Dr. Jose Lopez Mercedes presented a summary of the team’s work from the Enrollment Management Academy at USC San Diego. He emphasized that the presentation was a proposal/brainstorm for committee consideration </w:t>
      </w:r>
      <w:r w:rsidRPr="00A20297">
        <w:rPr>
          <w:rFonts w:asciiTheme="majorHAnsi" w:hAnsiTheme="majorHAnsi" w:cstheme="majorHAnsi"/>
          <w:sz w:val="22"/>
        </w:rPr>
        <w:lastRenderedPageBreak/>
        <w:t>rather than a set of approved actions. The overall purpose identified was to enhance access, improve retention, and support academic success for credit and noncredit students.</w:t>
      </w:r>
    </w:p>
    <w:p w14:paraId="35A99AB3"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Pillar 1 – Access and Enrollment: expand outreach to specialized populations, including AB 540 outreach; finalize FTES targets; and use section-cap/schedule modeling to support enrollment efficiency.</w:t>
      </w:r>
    </w:p>
    <w:p w14:paraId="46A0902E"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Pillar 2 – Retention and Support: increase comprehensive student educational plans, strengthen degree-audit support, and leverage affinity centers to help address equity gaps. The </w:t>
      </w:r>
      <w:proofErr w:type="gramStart"/>
      <w:r w:rsidRPr="00A20297">
        <w:rPr>
          <w:rFonts w:asciiTheme="majorHAnsi" w:hAnsiTheme="majorHAnsi" w:cstheme="majorHAnsi"/>
          <w:sz w:val="22"/>
        </w:rPr>
        <w:t>educational-plan</w:t>
      </w:r>
      <w:proofErr w:type="gramEnd"/>
      <w:r w:rsidRPr="00A20297">
        <w:rPr>
          <w:rFonts w:asciiTheme="majorHAnsi" w:hAnsiTheme="majorHAnsi" w:cstheme="majorHAnsi"/>
          <w:sz w:val="22"/>
        </w:rPr>
        <w:t xml:space="preserve"> campaign was identified as a priority.</w:t>
      </w:r>
    </w:p>
    <w:p w14:paraId="18C815AC"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Pillar 3 – Success and Completion: improve room utilization, track CTE employment information where possible, explore SCFF success points for former dual-enrollment students, and consider block scheduling.</w:t>
      </w:r>
    </w:p>
    <w:p w14:paraId="4EF41C9C"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Potential near-term work included an automated AB 540 outreach email, improved outreach messaging, collaboration with counseling on educational plans, and conversations with CalJOBS regarding employment information.</w:t>
      </w:r>
    </w:p>
    <w:p w14:paraId="05FA5E33"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group discussed the need for faculty, department-chair, dean, Academic Senate, admissions/records, counseling, and research collaboration before implementing schedule or target-setting changes.</w:t>
      </w:r>
    </w:p>
    <w:p w14:paraId="70FC6F9D"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Credit/noncredit calendar alignment was discussed as an important enrollment-management issue. Misalignment can create barriers for students transitioning between noncredit and credit, including students affected by SB 554 eligibility requirements.</w:t>
      </w:r>
    </w:p>
    <w:p w14:paraId="1F52D6DE"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The Academy proposal identified longer-term work toward aligned instructional calendars, with the transcript describing fall 2028 as an anticipated timeframe for a district/union agreement. The timeline was presented as a goal/proposal, not as a </w:t>
      </w:r>
      <w:proofErr w:type="gramStart"/>
      <w:r w:rsidRPr="00A20297">
        <w:rPr>
          <w:rFonts w:asciiTheme="majorHAnsi" w:hAnsiTheme="majorHAnsi" w:cstheme="majorHAnsi"/>
          <w:sz w:val="22"/>
        </w:rPr>
        <w:t>completed</w:t>
      </w:r>
      <w:proofErr w:type="gramEnd"/>
      <w:r w:rsidRPr="00A20297">
        <w:rPr>
          <w:rFonts w:asciiTheme="majorHAnsi" w:hAnsiTheme="majorHAnsi" w:cstheme="majorHAnsi"/>
          <w:sz w:val="22"/>
        </w:rPr>
        <w:t xml:space="preserve"> decision.</w:t>
      </w:r>
    </w:p>
    <w:p w14:paraId="4809CDCD"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A recurring theme was the need for accurate, current dashboards—particularly for noncredit—and the ability to see transitions between credit and noncredit.</w:t>
      </w:r>
    </w:p>
    <w:p w14:paraId="3B29126E"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7. Information: 2025/2026 Recap and 2026/2027 Targets</w:t>
      </w:r>
    </w:p>
    <w:p w14:paraId="31B4E173" w14:textId="77777777" w:rsidR="00CC67F9" w:rsidRPr="00A20297" w:rsidRDefault="00C12E56">
      <w:pPr>
        <w:pStyle w:val="Heading2"/>
        <w:rPr>
          <w:rFonts w:cstheme="majorHAnsi"/>
          <w:color w:val="auto"/>
          <w:sz w:val="22"/>
          <w:szCs w:val="22"/>
        </w:rPr>
      </w:pPr>
      <w:r w:rsidRPr="00A20297">
        <w:rPr>
          <w:rFonts w:cstheme="majorHAnsi"/>
          <w:color w:val="auto"/>
          <w:sz w:val="22"/>
          <w:szCs w:val="22"/>
        </w:rPr>
        <w:t>Noncredit / Continuing Education – Lorena Chavez</w:t>
      </w:r>
    </w:p>
    <w:p w14:paraId="0339CA4E"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For 2025–26, the summer target was 1,830 </w:t>
      </w:r>
      <w:proofErr w:type="gramStart"/>
      <w:r w:rsidRPr="00A20297">
        <w:rPr>
          <w:rFonts w:asciiTheme="majorHAnsi" w:hAnsiTheme="majorHAnsi" w:cstheme="majorHAnsi"/>
          <w:sz w:val="22"/>
        </w:rPr>
        <w:t>FTES</w:t>
      </w:r>
      <w:proofErr w:type="gramEnd"/>
      <w:r w:rsidRPr="00A20297">
        <w:rPr>
          <w:rFonts w:asciiTheme="majorHAnsi" w:hAnsiTheme="majorHAnsi" w:cstheme="majorHAnsi"/>
          <w:sz w:val="22"/>
        </w:rPr>
        <w:t xml:space="preserve"> and the actual was approximately 30 FTES above target. The fall target was 2,750 and the actual was approximately 114 FTES above target. CDCP also exceeded its projection by about 300 FTES. Spring ended at approximately 2,813 FTES, and the academic year finished slightly above the overall projection.</w:t>
      </w:r>
    </w:p>
    <w:p w14:paraId="5B12B76D"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For 2026–27, Continuing Education has an 8,000 FTES cap. </w:t>
      </w:r>
      <w:proofErr w:type="gramStart"/>
      <w:r w:rsidRPr="00A20297">
        <w:rPr>
          <w:rFonts w:asciiTheme="majorHAnsi" w:hAnsiTheme="majorHAnsi" w:cstheme="majorHAnsi"/>
          <w:sz w:val="22"/>
        </w:rPr>
        <w:t>Summer</w:t>
      </w:r>
      <w:proofErr w:type="gramEnd"/>
      <w:r w:rsidRPr="00A20297">
        <w:rPr>
          <w:rFonts w:asciiTheme="majorHAnsi" w:hAnsiTheme="majorHAnsi" w:cstheme="majorHAnsi"/>
          <w:sz w:val="22"/>
        </w:rPr>
        <w:t xml:space="preserve"> projection was 1,990 and actual was 2,004.16, approximately 14 FTES above projection. The fall target is 3,046; as of the meeting, 1,962.56 FTES </w:t>
      </w:r>
      <w:proofErr w:type="gramStart"/>
      <w:r w:rsidRPr="00A20297">
        <w:rPr>
          <w:rFonts w:asciiTheme="majorHAnsi" w:hAnsiTheme="majorHAnsi" w:cstheme="majorHAnsi"/>
          <w:sz w:val="22"/>
        </w:rPr>
        <w:t>had been</w:t>
      </w:r>
      <w:proofErr w:type="gramEnd"/>
      <w:r w:rsidRPr="00A20297">
        <w:rPr>
          <w:rFonts w:asciiTheme="majorHAnsi" w:hAnsiTheme="majorHAnsi" w:cstheme="majorHAnsi"/>
          <w:sz w:val="22"/>
        </w:rPr>
        <w:t xml:space="preserve"> earned, approximately 49.6% of the target.</w:t>
      </w:r>
    </w:p>
    <w:p w14:paraId="7813A710"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Continuing Education is emphasizing near-completer outreach, counseling collaboration, basic-needs support, health services, and monthly review of completion/persistence data.</w:t>
      </w:r>
    </w:p>
    <w:p w14:paraId="24FD192F"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Academic deans are expected to incorporate enrollment and completion information into leadership reports and use the data to consider both student access and educational-goal completion.</w:t>
      </w:r>
    </w:p>
    <w:p w14:paraId="1CBBEA08" w14:textId="77777777" w:rsidR="00CC67F9" w:rsidRPr="00A20297" w:rsidRDefault="00C12E56">
      <w:pPr>
        <w:pStyle w:val="Heading2"/>
        <w:rPr>
          <w:rFonts w:cstheme="majorHAnsi"/>
          <w:color w:val="auto"/>
          <w:sz w:val="22"/>
          <w:szCs w:val="22"/>
        </w:rPr>
      </w:pPr>
      <w:r w:rsidRPr="00A20297">
        <w:rPr>
          <w:rFonts w:cstheme="majorHAnsi"/>
          <w:color w:val="auto"/>
          <w:sz w:val="22"/>
          <w:szCs w:val="22"/>
        </w:rPr>
        <w:t>Credit – Matthew Morin</w:t>
      </w:r>
    </w:p>
    <w:p w14:paraId="700DF318"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For 2025–26, the college target was 22,532 FTES and actual FTES were 23,285.89, exceeding the target by 3.35%. Summer 2026 had a target of 1,850 credit FTES and actual of 2,064 FTES.</w:t>
      </w:r>
    </w:p>
    <w:p w14:paraId="6233D6C7" w14:textId="088581E4"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 xml:space="preserve">The fall 2026 credit target is 6,440 FTES; </w:t>
      </w:r>
      <w:r w:rsidR="004841F3" w:rsidRPr="00A20297">
        <w:rPr>
          <w:rFonts w:asciiTheme="majorHAnsi" w:hAnsiTheme="majorHAnsi" w:cstheme="majorHAnsi"/>
          <w:sz w:val="22"/>
        </w:rPr>
        <w:t>September</w:t>
      </w:r>
      <w:r w:rsidRPr="00A20297">
        <w:rPr>
          <w:rFonts w:asciiTheme="majorHAnsi" w:hAnsiTheme="majorHAnsi" w:cstheme="majorHAnsi"/>
          <w:sz w:val="22"/>
        </w:rPr>
        <w:t xml:space="preserve"> 15 actual was 5,137.16 FTES. The target was designed to remain roughly flat with the prior fall because of unfunded FTES and an emphasis on efficiency.</w:t>
      </w:r>
    </w:p>
    <w:p w14:paraId="79C38241"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lastRenderedPageBreak/>
        <w:t>The next phase is to strengthen the target-setting tool so faculty and deans can build targets from the schedule upward, while also considering student education plans and course availability.</w:t>
      </w:r>
    </w:p>
    <w:p w14:paraId="5C690261" w14:textId="77777777" w:rsidR="00CC67F9" w:rsidRPr="00A20297" w:rsidRDefault="00C12E56">
      <w:pPr>
        <w:pStyle w:val="Heading2"/>
        <w:rPr>
          <w:rFonts w:cstheme="majorHAnsi"/>
          <w:color w:val="auto"/>
          <w:sz w:val="22"/>
          <w:szCs w:val="22"/>
        </w:rPr>
      </w:pPr>
      <w:r w:rsidRPr="00A20297">
        <w:rPr>
          <w:rFonts w:cstheme="majorHAnsi"/>
          <w:color w:val="auto"/>
          <w:sz w:val="22"/>
          <w:szCs w:val="22"/>
        </w:rPr>
        <w:t>Supplemental/Success – Mark DeAsis</w:t>
      </w:r>
    </w:p>
    <w:p w14:paraId="438D2C5D"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discussion did not establish a single numeric 2026–27 campus-wide supplemental/success target. Instead, it focused on building a framework for future target setting.</w:t>
      </w:r>
    </w:p>
    <w:p w14:paraId="19EBBF8F"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Student Services expressed interest in developing area-specific targets, while Academic Affairs was encouraged to consider its own contributions, including instructional support. The committee recognized that a comprehensive campus target/KPI structure is not yet in place.</w:t>
      </w:r>
    </w:p>
    <w:p w14:paraId="04208747"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The committee emphasized the need to understand what activities—marketing, scheduling, outreach, counseling, financial aid, instructional work, and other supports—are contributing to observed results.</w:t>
      </w:r>
    </w:p>
    <w:p w14:paraId="6EF2565A" w14:textId="77777777" w:rsidR="00CC67F9" w:rsidRPr="00A20297" w:rsidRDefault="00C12E56">
      <w:pPr>
        <w:pStyle w:val="Heading1"/>
        <w:rPr>
          <w:rFonts w:cstheme="majorHAnsi"/>
          <w:color w:val="auto"/>
          <w:sz w:val="22"/>
          <w:szCs w:val="22"/>
        </w:rPr>
      </w:pPr>
      <w:r w:rsidRPr="00A20297">
        <w:rPr>
          <w:rFonts w:cstheme="majorHAnsi"/>
          <w:color w:val="auto"/>
          <w:sz w:val="22"/>
          <w:szCs w:val="22"/>
        </w:rPr>
        <w:t>8. Other / Closing</w:t>
      </w:r>
    </w:p>
    <w:p w14:paraId="61E7B74D" w14:textId="77777777" w:rsidR="00CC67F9" w:rsidRPr="00A20297" w:rsidRDefault="00C12E56">
      <w:pPr>
        <w:rPr>
          <w:rFonts w:asciiTheme="majorHAnsi" w:hAnsiTheme="majorHAnsi" w:cstheme="majorHAnsi"/>
          <w:sz w:val="22"/>
        </w:rPr>
      </w:pPr>
      <w:r w:rsidRPr="00A20297">
        <w:rPr>
          <w:rFonts w:asciiTheme="majorHAnsi" w:hAnsiTheme="majorHAnsi" w:cstheme="majorHAnsi"/>
          <w:sz w:val="22"/>
        </w:rPr>
        <w:t>The closing discussion emphasized that future enrollment reports should explain not only where the college landed, but what contributed to the result. Members discussed documenting the 'story of the term' so that later variances can be understood and promising practices can be identified.</w:t>
      </w:r>
    </w:p>
    <w:p w14:paraId="116FE183" w14:textId="77777777" w:rsidR="00CC67F9" w:rsidRPr="00A20297" w:rsidRDefault="00C12E56">
      <w:pPr>
        <w:pStyle w:val="ListBullet"/>
        <w:spacing w:after="40"/>
        <w:rPr>
          <w:rFonts w:asciiTheme="majorHAnsi" w:hAnsiTheme="majorHAnsi" w:cstheme="majorHAnsi"/>
          <w:sz w:val="22"/>
        </w:rPr>
      </w:pPr>
      <w:r w:rsidRPr="00A20297">
        <w:rPr>
          <w:rFonts w:asciiTheme="majorHAnsi" w:hAnsiTheme="majorHAnsi" w:cstheme="majorHAnsi"/>
          <w:sz w:val="22"/>
        </w:rPr>
        <w:t>Next meeting: October 13, 2026.</w:t>
      </w:r>
    </w:p>
    <w:p w14:paraId="514B5D54" w14:textId="15F1FBC1" w:rsidR="00CC67F9" w:rsidRDefault="00CC67F9" w:rsidP="00A20297"/>
    <w:sectPr w:rsidR="00CC67F9"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6017651">
    <w:abstractNumId w:val="8"/>
  </w:num>
  <w:num w:numId="2" w16cid:durableId="198012251">
    <w:abstractNumId w:val="6"/>
  </w:num>
  <w:num w:numId="3" w16cid:durableId="782264256">
    <w:abstractNumId w:val="5"/>
  </w:num>
  <w:num w:numId="4" w16cid:durableId="2055347205">
    <w:abstractNumId w:val="4"/>
  </w:num>
  <w:num w:numId="5" w16cid:durableId="67926747">
    <w:abstractNumId w:val="7"/>
  </w:num>
  <w:num w:numId="6" w16cid:durableId="805663460">
    <w:abstractNumId w:val="3"/>
  </w:num>
  <w:num w:numId="7" w16cid:durableId="397170085">
    <w:abstractNumId w:val="2"/>
  </w:num>
  <w:num w:numId="8" w16cid:durableId="1104501274">
    <w:abstractNumId w:val="1"/>
  </w:num>
  <w:num w:numId="9" w16cid:durableId="1155876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41F3"/>
    <w:rsid w:val="005D052A"/>
    <w:rsid w:val="006A0A28"/>
    <w:rsid w:val="00885E42"/>
    <w:rsid w:val="009424EB"/>
    <w:rsid w:val="00A20297"/>
    <w:rsid w:val="00AA1D8D"/>
    <w:rsid w:val="00B47730"/>
    <w:rsid w:val="00CB0664"/>
    <w:rsid w:val="00CC67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D8CB3B"/>
  <w14:defaultImageDpi w14:val="300"/>
  <w15:docId w15:val="{530AF207-51F7-4446-8053-3FEB30E6C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Miranda, Cristina</cp:lastModifiedBy>
  <cp:revision>4</cp:revision>
  <dcterms:created xsi:type="dcterms:W3CDTF">2013-12-23T23:15:00Z</dcterms:created>
  <dcterms:modified xsi:type="dcterms:W3CDTF">2026-09-28T21:27:00Z</dcterms:modified>
  <cp:category/>
</cp:coreProperties>
</file>