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F280" w14:textId="77777777" w:rsidR="00DD41F3" w:rsidRDefault="009A30A1">
      <w:pPr>
        <w:pStyle w:val="Heading1"/>
        <w:spacing w:before="79"/>
        <w:ind w:left="873" w:right="87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19D3F3C4" w14:textId="77777777" w:rsidR="00DD41F3" w:rsidRDefault="009A30A1">
      <w:pPr>
        <w:ind w:left="3830" w:right="3830"/>
        <w:jc w:val="center"/>
        <w:rPr>
          <w:sz w:val="28"/>
        </w:rPr>
      </w:pP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733B62D1" w14:textId="77777777" w:rsidR="00DD41F3" w:rsidRDefault="009A30A1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F00A1B" wp14:editId="0CC0936A">
                <wp:simplePos x="0" y="0"/>
                <wp:positionH relativeFrom="page">
                  <wp:posOffset>895350</wp:posOffset>
                </wp:positionH>
                <wp:positionV relativeFrom="paragraph">
                  <wp:posOffset>218382</wp:posOffset>
                </wp:positionV>
                <wp:extent cx="59817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92BF" id="Graphic 1" o:spid="_x0000_s1026" style="position:absolute;margin-left:70.5pt;margin-top:17.2pt;width:47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" path="m5981700,l,,,6095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4AEA1B" w14:textId="77777777" w:rsidR="00DD41F3" w:rsidRDefault="00DD41F3">
      <w:pPr>
        <w:pStyle w:val="BodyText"/>
        <w:spacing w:before="229"/>
        <w:rPr>
          <w:sz w:val="28"/>
        </w:rPr>
      </w:pPr>
    </w:p>
    <w:p w14:paraId="7D03E326" w14:textId="77777777" w:rsidR="00DD41F3" w:rsidRDefault="009A30A1">
      <w:pPr>
        <w:pStyle w:val="Heading1"/>
      </w:pPr>
      <w:r>
        <w:t>AR</w:t>
      </w:r>
      <w:r>
        <w:rPr>
          <w:spacing w:val="-5"/>
        </w:rPr>
        <w:t xml:space="preserve"> </w:t>
      </w:r>
      <w:r>
        <w:t>4025B</w:t>
      </w:r>
      <w:r>
        <w:rPr>
          <w:spacing w:val="-5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Baccalaureate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and General Education</w:t>
      </w:r>
    </w:p>
    <w:p w14:paraId="192E24BD" w14:textId="77777777" w:rsidR="00DD41F3" w:rsidRDefault="009A30A1">
      <w:pPr>
        <w:pStyle w:val="Heading2"/>
      </w:pPr>
      <w:r>
        <w:rPr>
          <w:spacing w:val="-2"/>
        </w:rPr>
        <w:t>Reference(s):</w:t>
      </w:r>
    </w:p>
    <w:p w14:paraId="1A442AEC" w14:textId="77777777" w:rsidR="00DD41F3" w:rsidRDefault="009A30A1">
      <w:pPr>
        <w:pStyle w:val="BodyText"/>
        <w:spacing w:line="252" w:lineRule="exact"/>
        <w:ind w:left="720"/>
      </w:pPr>
      <w:r>
        <w:t>Education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78040-</w:t>
      </w:r>
      <w:r>
        <w:rPr>
          <w:spacing w:val="-2"/>
        </w:rPr>
        <w:t>78042</w:t>
      </w:r>
    </w:p>
    <w:p w14:paraId="442F656B" w14:textId="77777777" w:rsidR="00DD41F3" w:rsidRDefault="009A30A1">
      <w:pPr>
        <w:pStyle w:val="BodyText"/>
        <w:ind w:left="720"/>
      </w:pPr>
      <w:r>
        <w:t>Title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55009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55061</w:t>
      </w:r>
    </w:p>
    <w:p w14:paraId="695290DC" w14:textId="77777777" w:rsidR="00DD41F3" w:rsidRDefault="00DD41F3">
      <w:pPr>
        <w:pStyle w:val="BodyText"/>
        <w:spacing w:before="252"/>
      </w:pPr>
    </w:p>
    <w:p w14:paraId="1F8C43B5" w14:textId="77777777" w:rsidR="00DD41F3" w:rsidRDefault="009A30A1">
      <w:pPr>
        <w:pStyle w:val="BodyText"/>
        <w:ind w:left="360" w:right="382"/>
      </w:pPr>
      <w:r>
        <w:t>The</w:t>
      </w:r>
      <w:r>
        <w:rPr>
          <w:spacing w:val="-4"/>
        </w:rPr>
        <w:t xml:space="preserve"> </w:t>
      </w:r>
      <w:r>
        <w:t>philosophy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Baccalaureate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address the considerations contained in the references listed above.</w:t>
      </w:r>
    </w:p>
    <w:p w14:paraId="630E2CED" w14:textId="77777777" w:rsidR="00DD41F3" w:rsidRDefault="00DD41F3">
      <w:pPr>
        <w:pStyle w:val="BodyText"/>
        <w:spacing w:before="1"/>
      </w:pPr>
    </w:p>
    <w:p w14:paraId="31DE6673" w14:textId="77777777" w:rsidR="00DD41F3" w:rsidRDefault="009A30A1">
      <w:pPr>
        <w:pStyle w:val="BodyText"/>
        <w:ind w:left="360" w:right="382"/>
      </w:pPr>
      <w:r>
        <w:t>The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mission,</w:t>
      </w:r>
      <w:r>
        <w:rPr>
          <w:spacing w:val="-4"/>
        </w:rPr>
        <w:t xml:space="preserve"> </w:t>
      </w:r>
      <w:r>
        <w:t>purposes, demographics and economics of its community.</w:t>
      </w:r>
    </w:p>
    <w:p w14:paraId="3C0D2843" w14:textId="77777777" w:rsidR="00DD41F3" w:rsidRDefault="009A30A1">
      <w:pPr>
        <w:pStyle w:val="BodyText"/>
        <w:spacing w:before="252"/>
        <w:ind w:left="360" w:right="399"/>
      </w:pPr>
      <w:r>
        <w:t xml:space="preserve">The baccalaureate degree is awarded to students who have successfully demonstrated they have developed intellectual skills, information technology facility, </w:t>
      </w:r>
      <w:proofErr w:type="gramStart"/>
      <w:r>
        <w:t>affective</w:t>
      </w:r>
      <w:proofErr w:type="gramEnd"/>
      <w:r>
        <w:t xml:space="preserve"> and creative capabilities, social attitudes, and an appreciation for cultural diversity. In addition to these accomplishments, students graduating with a baccalaureate degree shall possess sufficient depth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beyond. The depth will be provided with completion of the required 120 units including both lower-division-major units and upper-division-major units. The college catalog will clearly differentiate upper-divisio</w:t>
      </w:r>
      <w:r>
        <w:t>n and lower-division course work.</w:t>
      </w:r>
    </w:p>
    <w:p w14:paraId="5FCE6E0D" w14:textId="77777777" w:rsidR="00DD41F3" w:rsidRDefault="00DD41F3">
      <w:pPr>
        <w:pStyle w:val="BodyText"/>
        <w:spacing w:before="1"/>
      </w:pPr>
    </w:p>
    <w:p w14:paraId="0D60CF27" w14:textId="77777777" w:rsidR="00DD41F3" w:rsidRDefault="009A30A1">
      <w:pPr>
        <w:pStyle w:val="BodyText"/>
        <w:ind w:left="360" w:right="399"/>
      </w:pPr>
      <w:r>
        <w:t>Rancho</w:t>
      </w:r>
      <w:r>
        <w:rPr>
          <w:spacing w:val="-4"/>
        </w:rPr>
        <w:t xml:space="preserve"> </w:t>
      </w:r>
      <w:r>
        <w:t>Santiago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baccalaureate</w:t>
      </w:r>
      <w:r>
        <w:rPr>
          <w:spacing w:val="-4"/>
        </w:rPr>
        <w:t xml:space="preserve"> </w:t>
      </w:r>
      <w:r>
        <w:t>degrees.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 baccalaureate degree, students must:</w:t>
      </w:r>
    </w:p>
    <w:p w14:paraId="55F7CA42" w14:textId="77777777" w:rsidR="00DD41F3" w:rsidRDefault="009A30A1">
      <w:pPr>
        <w:pStyle w:val="ListParagraph"/>
        <w:numPr>
          <w:ilvl w:val="0"/>
          <w:numId w:val="1"/>
        </w:numPr>
        <w:tabs>
          <w:tab w:val="left" w:pos="1080"/>
        </w:tabs>
        <w:spacing w:before="253"/>
        <w:ind w:right="988" w:hanging="360"/>
      </w:pP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lower-division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upper-division</w:t>
      </w:r>
      <w:r>
        <w:rPr>
          <w:spacing w:val="-5"/>
        </w:rPr>
        <w:t xml:space="preserve"> </w:t>
      </w:r>
      <w:r>
        <w:t>coursework</w:t>
      </w:r>
      <w:r>
        <w:rPr>
          <w:spacing w:val="-5"/>
        </w:rPr>
        <w:t xml:space="preserve"> </w:t>
      </w:r>
      <w:r>
        <w:t>totaling</w:t>
      </w:r>
      <w:r>
        <w:rPr>
          <w:spacing w:val="-4"/>
        </w:rPr>
        <w:t xml:space="preserve"> </w:t>
      </w:r>
      <w:r>
        <w:t>a minimum of 120 semester units to include the following:</w:t>
      </w:r>
    </w:p>
    <w:p w14:paraId="1E171D92" w14:textId="77777777" w:rsidR="00DD41F3" w:rsidRDefault="009A30A1">
      <w:pPr>
        <w:pStyle w:val="ListParagraph"/>
        <w:numPr>
          <w:ilvl w:val="1"/>
          <w:numId w:val="1"/>
        </w:numPr>
        <w:tabs>
          <w:tab w:val="left" w:pos="1799"/>
        </w:tabs>
        <w:spacing w:before="252"/>
        <w:ind w:right="684" w:hanging="360"/>
      </w:pP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twenty-four</w:t>
      </w:r>
      <w:r>
        <w:rPr>
          <w:spacing w:val="-4"/>
        </w:rPr>
        <w:t xml:space="preserve"> </w:t>
      </w:r>
      <w:r>
        <w:t>(24)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lower-division-major</w:t>
      </w:r>
      <w:r>
        <w:rPr>
          <w:spacing w:val="-4"/>
        </w:rPr>
        <w:t xml:space="preserve"> </w:t>
      </w:r>
      <w:r>
        <w:t>courses, with no grade less than a “C” or “P” 2.0 average.</w:t>
      </w:r>
    </w:p>
    <w:p w14:paraId="77D62A79" w14:textId="77777777" w:rsidR="00DD41F3" w:rsidRDefault="00DD41F3">
      <w:pPr>
        <w:pStyle w:val="BodyText"/>
      </w:pPr>
    </w:p>
    <w:p w14:paraId="6E286C40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9"/>
        </w:tabs>
        <w:spacing w:before="1"/>
        <w:ind w:right="357" w:hanging="360"/>
      </w:pPr>
      <w:r>
        <w:t>Lower-division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baccalaureate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are designated as CSU or UC transferable or determined to be at the baccalaureate level.</w:t>
      </w:r>
    </w:p>
    <w:p w14:paraId="1FCDBCAD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7"/>
          <w:tab w:val="left" w:pos="2699"/>
        </w:tabs>
        <w:ind w:right="407"/>
      </w:pPr>
      <w:r>
        <w:t>Lower-division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regionally</w:t>
      </w:r>
      <w:r>
        <w:rPr>
          <w:spacing w:val="-5"/>
        </w:rPr>
        <w:t xml:space="preserve"> </w:t>
      </w:r>
      <w:r>
        <w:t>accredited</w:t>
      </w:r>
      <w:r>
        <w:rPr>
          <w:spacing w:val="-6"/>
        </w:rPr>
        <w:t xml:space="preserve"> </w:t>
      </w:r>
      <w:r>
        <w:t>institutions will be evaluated by a CTE counselor or graduation specialist to determine baccalaureate credit based on course description, comparable content, appropriate prerequisites, or C-ID number.</w:t>
      </w:r>
    </w:p>
    <w:p w14:paraId="32CC0234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9"/>
        </w:tabs>
        <w:ind w:right="628" w:hanging="360"/>
      </w:pPr>
      <w:r>
        <w:t>All</w:t>
      </w:r>
      <w:r>
        <w:rPr>
          <w:spacing w:val="-5"/>
        </w:rPr>
        <w:t xml:space="preserve"> </w:t>
      </w:r>
      <w:r>
        <w:t>lower-division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baccalaureate degree is granted.</w:t>
      </w:r>
    </w:p>
    <w:p w14:paraId="577D580F" w14:textId="77777777" w:rsidR="00DD41F3" w:rsidRDefault="00DD41F3">
      <w:pPr>
        <w:pStyle w:val="ListParagraph"/>
        <w:sectPr w:rsidR="00DD41F3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7EA8291D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8"/>
          <w:tab w:val="left" w:pos="2700"/>
        </w:tabs>
        <w:spacing w:before="79"/>
        <w:ind w:left="2700" w:right="615"/>
      </w:pPr>
      <w:r>
        <w:lastRenderedPageBreak/>
        <w:t>International courses will be evaluated for baccalaureate major requirements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descriptions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English, along with a transcript evaluated by an approved foreign transcript </w:t>
      </w:r>
      <w:r>
        <w:rPr>
          <w:spacing w:val="-2"/>
        </w:rPr>
        <w:t>service.</w:t>
      </w:r>
    </w:p>
    <w:p w14:paraId="143E2C6F" w14:textId="77777777" w:rsidR="00DD41F3" w:rsidRDefault="009A30A1">
      <w:pPr>
        <w:pStyle w:val="ListParagraph"/>
        <w:numPr>
          <w:ilvl w:val="1"/>
          <w:numId w:val="1"/>
        </w:numPr>
        <w:tabs>
          <w:tab w:val="left" w:pos="1800"/>
        </w:tabs>
        <w:spacing w:before="252"/>
        <w:ind w:left="1800" w:right="391" w:hanging="360"/>
      </w:pPr>
      <w:r>
        <w:t>Forty</w:t>
      </w:r>
      <w:r>
        <w:rPr>
          <w:spacing w:val="-4"/>
        </w:rPr>
        <w:t xml:space="preserve"> </w:t>
      </w:r>
      <w:r>
        <w:t>(40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upper-division-major</w:t>
      </w:r>
      <w:r>
        <w:rPr>
          <w:spacing w:val="-5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 a “C” or “P” 2.0 average.</w:t>
      </w:r>
    </w:p>
    <w:p w14:paraId="303B4B35" w14:textId="77777777" w:rsidR="00DD41F3" w:rsidRDefault="00DD41F3">
      <w:pPr>
        <w:pStyle w:val="BodyText"/>
      </w:pPr>
    </w:p>
    <w:p w14:paraId="6DC10286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9"/>
        </w:tabs>
        <w:ind w:right="406" w:hanging="360"/>
      </w:pPr>
      <w:r>
        <w:t xml:space="preserve">Rancho Santiago Community College District courses designated as </w:t>
      </w:r>
      <w:proofErr w:type="gramStart"/>
      <w:r>
        <w:t>upper-division</w:t>
      </w:r>
      <w:proofErr w:type="gramEnd"/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baccalaureate</w:t>
      </w:r>
      <w:r>
        <w:rPr>
          <w:spacing w:val="-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 not be used to satisfy associate degree requirements.</w:t>
      </w:r>
    </w:p>
    <w:p w14:paraId="208AB974" w14:textId="77777777" w:rsidR="00DD41F3" w:rsidRDefault="009A30A1">
      <w:pPr>
        <w:pStyle w:val="ListParagraph"/>
        <w:numPr>
          <w:ilvl w:val="2"/>
          <w:numId w:val="1"/>
        </w:numPr>
        <w:tabs>
          <w:tab w:val="left" w:pos="2698"/>
          <w:tab w:val="left" w:pos="2700"/>
        </w:tabs>
        <w:spacing w:before="1"/>
        <w:ind w:left="2700" w:right="407"/>
      </w:pPr>
      <w:r>
        <w:t>Upper-division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regionally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institutions will NOT be accepted for major, general education, or elective baccalaureate degree credit.</w:t>
      </w:r>
    </w:p>
    <w:p w14:paraId="04F96AD7" w14:textId="77777777" w:rsidR="00DD41F3" w:rsidRDefault="009A30A1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252"/>
        <w:ind w:left="1800" w:right="905"/>
      </w:pPr>
      <w:r>
        <w:t>Complete the California State University (CSU) GE Breadth (Plan B) or the University of California (UC) intersegmental general education transfer curriculum</w:t>
      </w:r>
      <w:r>
        <w:rPr>
          <w:spacing w:val="-5"/>
        </w:rPr>
        <w:t xml:space="preserve"> </w:t>
      </w:r>
      <w:r>
        <w:t>IGETC</w:t>
      </w:r>
      <w:r>
        <w:rPr>
          <w:spacing w:val="-5"/>
        </w:rPr>
        <w:t xml:space="preserve"> </w:t>
      </w:r>
      <w:r>
        <w:t>(Plan</w:t>
      </w:r>
      <w:r>
        <w:rPr>
          <w:spacing w:val="-5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lower-division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 xml:space="preserve">(37-41 </w:t>
      </w:r>
      <w:r>
        <w:rPr>
          <w:spacing w:val="-2"/>
        </w:rPr>
        <w:t>units).</w:t>
      </w:r>
    </w:p>
    <w:p w14:paraId="6F846975" w14:textId="77777777" w:rsidR="00DD41F3" w:rsidRDefault="00DD41F3">
      <w:pPr>
        <w:pStyle w:val="BodyText"/>
      </w:pPr>
    </w:p>
    <w:p w14:paraId="45CEA5EA" w14:textId="77777777" w:rsidR="00DD41F3" w:rsidRDefault="009A30A1">
      <w:pPr>
        <w:pStyle w:val="ListParagraph"/>
        <w:numPr>
          <w:ilvl w:val="2"/>
          <w:numId w:val="1"/>
        </w:numPr>
        <w:tabs>
          <w:tab w:val="left" w:pos="2700"/>
        </w:tabs>
        <w:ind w:left="2700" w:right="590" w:hanging="360"/>
      </w:pPr>
      <w:r>
        <w:t>Previously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evaluated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CSU-GE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IGETC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guidelines.</w:t>
      </w:r>
    </w:p>
    <w:p w14:paraId="23BFD7F4" w14:textId="77777777" w:rsidR="00DD41F3" w:rsidRDefault="009A30A1">
      <w:pPr>
        <w:pStyle w:val="ListParagraph"/>
        <w:numPr>
          <w:ilvl w:val="2"/>
          <w:numId w:val="1"/>
        </w:numPr>
        <w:tabs>
          <w:tab w:val="left" w:pos="2700"/>
        </w:tabs>
        <w:spacing w:before="1"/>
        <w:ind w:left="2700" w:right="456" w:hanging="360"/>
      </w:pPr>
      <w:r>
        <w:t>Students enrolled in the baccalaureate program who have not completed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CSU-GE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IGETC</w:t>
      </w:r>
      <w:r>
        <w:rPr>
          <w:spacing w:val="-5"/>
        </w:rPr>
        <w:t xml:space="preserve"> </w:t>
      </w:r>
      <w:r>
        <w:t>pattern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 CSU-GE or IGETC Areas.</w:t>
      </w:r>
    </w:p>
    <w:p w14:paraId="11CC6C3B" w14:textId="77777777" w:rsidR="00DD41F3" w:rsidRDefault="009A30A1">
      <w:pPr>
        <w:pStyle w:val="ListParagraph"/>
        <w:numPr>
          <w:ilvl w:val="1"/>
          <w:numId w:val="1"/>
        </w:numPr>
        <w:tabs>
          <w:tab w:val="left" w:pos="1799"/>
        </w:tabs>
        <w:spacing w:before="252"/>
        <w:ind w:hanging="359"/>
      </w:pP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upper-division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2"/>
        </w:rPr>
        <w:t>courses.</w:t>
      </w:r>
    </w:p>
    <w:p w14:paraId="6A60DCF0" w14:textId="77777777" w:rsidR="00DD41F3" w:rsidRDefault="00DD41F3">
      <w:pPr>
        <w:pStyle w:val="BodyText"/>
      </w:pPr>
    </w:p>
    <w:p w14:paraId="2108C44C" w14:textId="77777777" w:rsidR="00DD41F3" w:rsidRDefault="009A30A1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598" w:hanging="360"/>
      </w:pPr>
      <w:r>
        <w:t>Satisfy</w:t>
      </w:r>
      <w:r>
        <w:rPr>
          <w:spacing w:val="-4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CSU-GE or IGETC general education patterns.</w:t>
      </w:r>
    </w:p>
    <w:p w14:paraId="685F5AAB" w14:textId="77777777" w:rsidR="00DD41F3" w:rsidRDefault="009A30A1">
      <w:pPr>
        <w:pStyle w:val="ListParagraph"/>
        <w:numPr>
          <w:ilvl w:val="0"/>
          <w:numId w:val="1"/>
        </w:numPr>
        <w:tabs>
          <w:tab w:val="left" w:pos="1079"/>
        </w:tabs>
        <w:spacing w:before="252"/>
        <w:ind w:left="1079" w:hanging="359"/>
      </w:pP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(12)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residence.</w:t>
      </w:r>
    </w:p>
    <w:p w14:paraId="2D2641C4" w14:textId="77777777" w:rsidR="00DD41F3" w:rsidRDefault="00DD41F3">
      <w:pPr>
        <w:pStyle w:val="BodyText"/>
      </w:pPr>
    </w:p>
    <w:p w14:paraId="2FB5C868" w14:textId="77777777" w:rsidR="00DD41F3" w:rsidRDefault="009A30A1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647"/>
      </w:pPr>
      <w: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grade-point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(GPA);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“P”</w:t>
      </w:r>
      <w:r>
        <w:rPr>
          <w:spacing w:val="-3"/>
        </w:rPr>
        <w:t xml:space="preserve"> </w:t>
      </w:r>
      <w:r>
        <w:t>may be used toward meeting the baccalaureate degree requirements.</w:t>
      </w:r>
    </w:p>
    <w:p w14:paraId="6BD60D34" w14:textId="77777777" w:rsidR="00DD41F3" w:rsidRDefault="00DD41F3">
      <w:pPr>
        <w:pStyle w:val="BodyText"/>
      </w:pPr>
    </w:p>
    <w:p w14:paraId="0DC5726A" w14:textId="77777777" w:rsidR="00DD41F3" w:rsidRDefault="00DD41F3">
      <w:pPr>
        <w:pStyle w:val="BodyText"/>
      </w:pPr>
    </w:p>
    <w:p w14:paraId="6AC2FCFC" w14:textId="77777777" w:rsidR="00DD41F3" w:rsidRDefault="00DD41F3">
      <w:pPr>
        <w:pStyle w:val="BodyText"/>
        <w:spacing w:before="47"/>
      </w:pPr>
    </w:p>
    <w:p w14:paraId="55703D64" w14:textId="77777777" w:rsidR="00DD41F3" w:rsidRDefault="009A30A1">
      <w:pPr>
        <w:ind w:left="360"/>
        <w:rPr>
          <w:b/>
          <w:sz w:val="20"/>
        </w:rPr>
      </w:pPr>
      <w:r>
        <w:rPr>
          <w:b/>
          <w:sz w:val="20"/>
        </w:rPr>
        <w:t>Adopted: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2018</w:t>
      </w:r>
    </w:p>
    <w:sectPr w:rsidR="00DD41F3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81D"/>
    <w:multiLevelType w:val="hybridMultilevel"/>
    <w:tmpl w:val="E5B85064"/>
    <w:lvl w:ilvl="0" w:tplc="9998F34A">
      <w:start w:val="1"/>
      <w:numFmt w:val="upperLetter"/>
      <w:lvlText w:val="%1.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5EDDC6">
      <w:start w:val="1"/>
      <w:numFmt w:val="decimal"/>
      <w:lvlText w:val="%2)"/>
      <w:lvlJc w:val="left"/>
      <w:pPr>
        <w:ind w:left="17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C3C848E">
      <w:start w:val="1"/>
      <w:numFmt w:val="lowerLetter"/>
      <w:lvlText w:val="%3)"/>
      <w:lvlJc w:val="left"/>
      <w:pPr>
        <w:ind w:left="26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CDA268D8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4" w:tplc="7C5C648E">
      <w:numFmt w:val="bullet"/>
      <w:lvlText w:val="•"/>
      <w:lvlJc w:val="left"/>
      <w:pPr>
        <w:ind w:left="4545" w:hanging="361"/>
      </w:pPr>
      <w:rPr>
        <w:rFonts w:hint="default"/>
        <w:lang w:val="en-US" w:eastAsia="en-US" w:bidi="ar-SA"/>
      </w:rPr>
    </w:lvl>
    <w:lvl w:ilvl="5" w:tplc="178213F8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6" w:tplc="61B86548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7" w:tplc="DE72535C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8" w:tplc="6A06C30C">
      <w:numFmt w:val="bullet"/>
      <w:lvlText w:val="•"/>
      <w:lvlJc w:val="left"/>
      <w:pPr>
        <w:ind w:left="8235" w:hanging="361"/>
      </w:pPr>
      <w:rPr>
        <w:rFonts w:hint="default"/>
        <w:lang w:val="en-US" w:eastAsia="en-US" w:bidi="ar-SA"/>
      </w:rPr>
    </w:lvl>
  </w:abstractNum>
  <w:num w:numId="1" w16cid:durableId="29433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F3"/>
    <w:rsid w:val="00456256"/>
    <w:rsid w:val="006A2E6F"/>
    <w:rsid w:val="009A30A1"/>
    <w:rsid w:val="00D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EC27"/>
  <w15:docId w15:val="{9B0046CE-C595-457E-882F-6689C2A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 w:right="38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22" w:line="252" w:lineRule="exact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6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5E98C81E064DB5252D7228D8A8F7" ma:contentTypeVersion="6" ma:contentTypeDescription="Create a new document." ma:contentTypeScope="" ma:versionID="d6c48de54250df0fe01c5c3e9d904407">
  <xsd:schema xmlns:xsd="http://www.w3.org/2001/XMLSchema" xmlns:xs="http://www.w3.org/2001/XMLSchema" xmlns:p="http://schemas.microsoft.com/office/2006/metadata/properties" xmlns:ns2="e732d5a2-c289-428b-9acf-930b378b4c70" xmlns:ns3="a2fdb550-a160-4b62-911e-d41d9c90d00e" targetNamespace="http://schemas.microsoft.com/office/2006/metadata/properties" ma:root="true" ma:fieldsID="c8b73bb2eec4c2525d6677f37012bb6e" ns2:_="" ns3:_="">
    <xsd:import namespace="e732d5a2-c289-428b-9acf-930b378b4c70"/>
    <xsd:import namespace="a2fdb550-a160-4b62-911e-d41d9c90d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d5a2-c289-428b-9acf-930b378b4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b550-a160-4b62-911e-d41d9c90d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33E8-8242-4FCE-B776-35B671D67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2d5a2-c289-428b-9acf-930b378b4c70"/>
    <ds:schemaRef ds:uri="a2fdb550-a160-4b62-911e-d41d9c90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A695C-7BBC-4AF1-8C70-02EDB8BAB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5FB4E4-2255-4F42-A48D-20D5E2826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3255</Characters>
  <Application>Microsoft Office Word</Application>
  <DocSecurity>0</DocSecurity>
  <Lines>162</Lines>
  <Paragraphs>145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4025B Philosophy and Criteria for Baccalaureate Degree and General Education.docx</dc:title>
  <dc:creator>dg23869</dc:creator>
  <cp:lastModifiedBy>Tran, Anh-Phuong</cp:lastModifiedBy>
  <cp:revision>2</cp:revision>
  <dcterms:created xsi:type="dcterms:W3CDTF">2026-03-30T22:18:00Z</dcterms:created>
  <dcterms:modified xsi:type="dcterms:W3CDTF">2026-03-30T22:18:00Z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0x010100FA2E5E98C81E064DB5252D7228D8A8F7</vt:lpwstr>
  </property>
</Properties>
</file>