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5E4B" w14:textId="3735D917" w:rsidR="00415708" w:rsidRPr="00415708" w:rsidRDefault="00415708" w:rsidP="00415708">
      <w:pPr>
        <w:rPr>
          <w:b/>
          <w:bCs/>
        </w:rPr>
      </w:pPr>
      <w:r>
        <w:rPr>
          <w:b/>
          <w:bCs/>
        </w:rPr>
        <w:t>Resolution S2026.05</w:t>
      </w:r>
    </w:p>
    <w:p w14:paraId="2E3024A9" w14:textId="77777777" w:rsidR="00415708" w:rsidRDefault="00415708" w:rsidP="00415708">
      <w:pPr>
        <w:rPr>
          <w:b/>
          <w:bCs/>
        </w:rPr>
      </w:pPr>
      <w:r>
        <w:rPr>
          <w:b/>
          <w:bCs/>
        </w:rPr>
        <w:t>Prioritizing Faculty-Delivered Mental Health Services and Ensuring Appropriate Use of State Mental Health Funding</w:t>
      </w:r>
    </w:p>
    <w:p w14:paraId="2DB0861D" w14:textId="77777777" w:rsidR="00415708" w:rsidRPr="00415708" w:rsidRDefault="00415708" w:rsidP="00415708"/>
    <w:p w14:paraId="6113A034" w14:textId="7F1BB1B4" w:rsidR="00415708" w:rsidRDefault="00415708" w:rsidP="00415708">
      <w:r>
        <w:t>Moved:</w:t>
      </w:r>
      <w:r>
        <w:br/>
        <w:t>Seconded:</w:t>
      </w:r>
    </w:p>
    <w:p w14:paraId="1D80FEEC" w14:textId="5EBF9AFC" w:rsidR="005B705F" w:rsidRDefault="00C64653" w:rsidP="005B705F">
      <w:pPr>
        <w:spacing w:before="240" w:after="240"/>
        <w:rPr>
          <w:rFonts w:ascii="Aptos" w:eastAsia="Aptos" w:hAnsi="Aptos" w:cs="Aptos"/>
          <w:b/>
          <w:bCs/>
        </w:rPr>
      </w:pPr>
      <w:r>
        <w:rPr>
          <w:rFonts w:ascii="Aptos" w:eastAsia="Aptos" w:hAnsi="Aptos" w:cs="Aptos"/>
          <w:b/>
          <w:bCs/>
        </w:rPr>
        <w:t>Whereas,</w:t>
      </w:r>
      <w:r>
        <w:rPr>
          <w:rFonts w:ascii="Aptos" w:eastAsia="Aptos" w:hAnsi="Aptos" w:cs="Aptos"/>
        </w:rPr>
        <w:t xml:space="preserve"> The Santa Ana College Academic Senate and Faculty, under Title 5 §53200 (“10+1”), has purview over standards and policies regarding student services, including mental health service delivery; and the Academic Senate for California Community Colleges (ASCCC) acknowledged in </w:t>
      </w:r>
      <w:hyperlink r:id="rId8" w:history="1">
        <w:r w:rsidRPr="0037363D">
          <w:rPr>
            <w:rStyle w:val="Hyperlink"/>
            <w:rFonts w:ascii="Aptos" w:eastAsia="Aptos" w:hAnsi="Aptos" w:cs="Aptos"/>
          </w:rPr>
          <w:t>Resolution 17.04 (Fall 2023</w:t>
        </w:r>
      </w:hyperlink>
      <w:r>
        <w:rPr>
          <w:rFonts w:ascii="Aptos" w:eastAsia="Aptos" w:hAnsi="Aptos" w:cs="Aptos"/>
        </w:rPr>
        <w:t xml:space="preserve">) that “the physical health and mental well-being of California’s young adults is currently at a crisis level, with potential devastating long-term effects on both the health status and financial stability of the state,” and resolved to “acknowledge and work to address the current crisis in the physical health and mental well-being of California community college students” — affirming the statewide imperative for community colleges to take active, faculty-led roles in addressing student well-being; and Santa Ana College provides mental health services through its Health &amp; Wellness Center, where faculty psychologists deliver direct clinical care, crisis intervention, coordination with campus partners (CARE, DSPS, Title IX, faculty, administration), ethical oversight, and continuity of care — services that are integrated within the college environment and cannot be fully replicated by </w:t>
      </w:r>
      <w:r w:rsidRPr="000E4D52">
        <w:rPr>
          <w:rFonts w:ascii="Aptos" w:eastAsia="Aptos" w:hAnsi="Aptos" w:cs="Aptos"/>
        </w:rPr>
        <w:t>external telehealth platforms;</w:t>
      </w:r>
      <w:r>
        <w:rPr>
          <w:rFonts w:ascii="Aptos" w:eastAsia="Aptos" w:hAnsi="Aptos" w:cs="Aptos"/>
          <w:b/>
          <w:bCs/>
        </w:rPr>
        <w:t xml:space="preserve"> </w:t>
      </w:r>
    </w:p>
    <w:p w14:paraId="7C4E824A" w14:textId="034E62F0" w:rsidR="00415708" w:rsidRPr="00B1146B" w:rsidRDefault="005B705F" w:rsidP="00B1146B">
      <w:pPr>
        <w:spacing w:before="240" w:after="240"/>
        <w:rPr>
          <w:rFonts w:ascii="Aptos" w:eastAsia="Aptos" w:hAnsi="Aptos" w:cs="Aptos"/>
        </w:rPr>
      </w:pPr>
      <w:r>
        <w:rPr>
          <w:rFonts w:ascii="Aptos" w:eastAsia="Aptos" w:hAnsi="Aptos" w:cs="Aptos"/>
          <w:b/>
          <w:bCs/>
        </w:rPr>
        <w:t>Whereas,</w:t>
      </w:r>
      <w:r>
        <w:rPr>
          <w:rFonts w:ascii="Aptos" w:eastAsia="Aptos" w:hAnsi="Aptos" w:cs="Aptos"/>
        </w:rPr>
        <w:t xml:space="preserve"> The California Community Colleges Chancellor’s Office allocates dedicated mental health funding through “Restricted, 8620 – General Categorical Programs,” intended to support prevention, early intervention, and direct student mental health services; Santa Ana College receives approximately $500,000 annually in such funding, representing a public investment that carries institutional responsibility to prioritize sustainable, campus-based, faculty-delivered services over reliance on external vendors; and the ASCCC, through </w:t>
      </w:r>
      <w:hyperlink r:id="rId9" w:history="1">
        <w:r w:rsidRPr="0037363D">
          <w:rPr>
            <w:rStyle w:val="Hyperlink"/>
            <w:rFonts w:ascii="Aptos" w:eastAsia="Aptos" w:hAnsi="Aptos" w:cs="Aptos"/>
          </w:rPr>
          <w:t>Resolution 05.01 (Spring 2022)</w:t>
        </w:r>
      </w:hyperlink>
      <w:r>
        <w:rPr>
          <w:rFonts w:ascii="Aptos" w:eastAsia="Aptos" w:hAnsi="Aptos" w:cs="Aptos"/>
        </w:rPr>
        <w:t>, formally called for the inclusion of dedicated funding for mental health resources and services in the Chancellor’s Office System Budget Proposal, reaffirming through its prior Resolution S16 06.04 that local senates must “advocate for the improvement of and access to mental health services at their local campuses” and “support consistent resourcing and funding to enable the expansion of and improve access to mental health services for community college students”; and the SSCCC has documented that counselor-to-student ratios at California community colleges far exceed those at the UC and CSU systems — surpassing 7,000 students per counselor at CCCs compared to approximately 1,100 per counselor at UC and 2,000 per counselor at CSU — underscoring that state mental health funding must be directed toward building on-campus clinical capacity rather than supplementing it with external services;</w:t>
      </w:r>
    </w:p>
    <w:p w14:paraId="4E84DA2B" w14:textId="2BF3465F" w:rsidR="00C64653" w:rsidRDefault="00C64653" w:rsidP="00C64653">
      <w:pPr>
        <w:spacing w:before="240" w:after="240"/>
        <w:rPr>
          <w:rFonts w:ascii="Aptos" w:eastAsia="Aptos" w:hAnsi="Aptos" w:cs="Aptos"/>
        </w:rPr>
      </w:pPr>
      <w:r>
        <w:rPr>
          <w:rFonts w:ascii="Aptos" w:eastAsia="Aptos" w:hAnsi="Aptos" w:cs="Aptos"/>
          <w:b/>
          <w:bCs/>
        </w:rPr>
        <w:t>Whereas,</w:t>
      </w:r>
      <w:r>
        <w:rPr>
          <w:rFonts w:ascii="Aptos" w:eastAsia="Aptos" w:hAnsi="Aptos" w:cs="Aptos"/>
        </w:rPr>
        <w:t xml:space="preserve"> The use of external mental health service vendors represents a material shift in the delivery of publicly funded mental health services, with potential implications for </w:t>
      </w:r>
      <w:r>
        <w:rPr>
          <w:rFonts w:ascii="Aptos" w:eastAsia="Aptos" w:hAnsi="Aptos" w:cs="Aptos"/>
        </w:rPr>
        <w:lastRenderedPageBreak/>
        <w:t>continuity of care, student experience and equity outcomes, faculty workload and roles, and institutional accountability for clinical services; and the SSCCC has documented that California community college students reported higher rates of impaired academic performance due to mental health issues and were half as likely to receive referrals for counseling or mental health services or to receive services on their campus compared to their UC and CSU counterparts, reflecting systemic inequities that on-campus, faculty-delivered services are best positioned to address; and the SSCCC, citing research indicating that a campus culture supportive of mental wellness could increase service use among students experiencing mental health–related academic impairment by an average of 39 percent, has called for licensed therapists dedicated to supporting students on every California community college campus;</w:t>
      </w:r>
    </w:p>
    <w:p w14:paraId="6D53ED11" w14:textId="4543BB34" w:rsidR="00415708" w:rsidRPr="00B1146B" w:rsidRDefault="00C64653" w:rsidP="00B1146B">
      <w:pPr>
        <w:spacing w:before="240" w:after="240"/>
        <w:rPr>
          <w:rFonts w:ascii="Aptos" w:eastAsia="Aptos" w:hAnsi="Aptos" w:cs="Aptos"/>
        </w:rPr>
      </w:pPr>
      <w:r>
        <w:rPr>
          <w:rFonts w:ascii="Aptos" w:eastAsia="Aptos" w:hAnsi="Aptos" w:cs="Aptos"/>
          <w:b/>
          <w:bCs/>
        </w:rPr>
        <w:t>Whereas,</w:t>
      </w:r>
      <w:r>
        <w:rPr>
          <w:rFonts w:ascii="Aptos" w:eastAsia="Aptos" w:hAnsi="Aptos" w:cs="Aptos"/>
        </w:rPr>
        <w:t xml:space="preserve"> Decisions that impact service delivery models and the allocation of state mental health funding require consultation through shared governance and the Academic Senate’s 10+1 authority; and while impacts on faculty working conditions and workload fall within the separate purview of FARSCCD, the Academic Senate encourages parallel consultation with the collective bargaining unit on those matters through the appropriate channels; and the position of this resolution is further supported by the SSCCC’s statewide resolution calling on every California community college campus to maintain on-campus mental health services and to support a standard of one counselor for every 1,500 students, by ASCCC Resolution 17.04 (Fall 2023) acknowledging that the student well-being crisis falls disproportionately on Latinx, Black, and Native American students who already experience lower health outcomes, and by ASCCC Resolution 05.01 (Spring 2022), which reaffirmed the ASCCC’s sustained advocacy for campus-based mental health resources and funding, building on a years-long body of ASCCC resolutions urging local senates to advocate for the improvement of and access to mental health services — all of which align with and support this Senate’s call to prioritize faculty-delivered, campus-based services and to ensure that state mental health funding is expended accordingly;</w:t>
      </w:r>
    </w:p>
    <w:p w14:paraId="31458A23" w14:textId="453A04BB" w:rsidR="00B1146B" w:rsidRDefault="00B1146B" w:rsidP="00B1146B">
      <w:pPr>
        <w:spacing w:before="240" w:after="240"/>
        <w:rPr>
          <w:rFonts w:ascii="Aptos" w:eastAsia="Aptos" w:hAnsi="Aptos" w:cs="Aptos"/>
        </w:rPr>
      </w:pPr>
      <w:r>
        <w:rPr>
          <w:rFonts w:ascii="Aptos" w:eastAsia="Aptos" w:hAnsi="Aptos" w:cs="Aptos"/>
          <w:b/>
          <w:bCs/>
        </w:rPr>
        <w:t>Resolved,</w:t>
      </w:r>
      <w:r>
        <w:rPr>
          <w:rFonts w:ascii="Aptos" w:eastAsia="Aptos" w:hAnsi="Aptos" w:cs="Aptos"/>
        </w:rPr>
        <w:t xml:space="preserve"> That the Academic Senate of Santa Ana College recommends that the College prioritize the hiring of full-time and part-time faculty psychologists to maintain and expand campus-based mental health services prior to </w:t>
      </w:r>
      <w:proofErr w:type="gramStart"/>
      <w:r>
        <w:rPr>
          <w:rFonts w:ascii="Aptos" w:eastAsia="Aptos" w:hAnsi="Aptos" w:cs="Aptos"/>
        </w:rPr>
        <w:t>entering into</w:t>
      </w:r>
      <w:proofErr w:type="gramEnd"/>
      <w:r>
        <w:rPr>
          <w:rFonts w:ascii="Aptos" w:eastAsia="Aptos" w:hAnsi="Aptos" w:cs="Aptos"/>
        </w:rPr>
        <w:t xml:space="preserve"> or expanding contracts with </w:t>
      </w:r>
      <w:r w:rsidRPr="000E4D52">
        <w:rPr>
          <w:rFonts w:ascii="Aptos" w:eastAsia="Aptos" w:hAnsi="Aptos" w:cs="Aptos"/>
        </w:rPr>
        <w:t xml:space="preserve">external telehealth </w:t>
      </w:r>
      <w:r w:rsidR="000E4D52">
        <w:rPr>
          <w:rFonts w:ascii="Aptos" w:eastAsia="Aptos" w:hAnsi="Aptos" w:cs="Aptos"/>
        </w:rPr>
        <w:t>platforms</w:t>
      </w:r>
      <w:r>
        <w:rPr>
          <w:rFonts w:ascii="Aptos" w:eastAsia="Aptos" w:hAnsi="Aptos" w:cs="Aptos"/>
        </w:rPr>
        <w:t>, consistent with the intent of state mental health funding;</w:t>
      </w:r>
    </w:p>
    <w:p w14:paraId="53D13562" w14:textId="77777777" w:rsidR="00B1146B" w:rsidRDefault="00B1146B" w:rsidP="00B1146B">
      <w:pPr>
        <w:spacing w:before="240" w:after="240"/>
        <w:rPr>
          <w:rFonts w:ascii="Aptos" w:eastAsia="Aptos" w:hAnsi="Aptos" w:cs="Aptos"/>
        </w:rPr>
      </w:pPr>
      <w:r>
        <w:rPr>
          <w:rFonts w:ascii="Aptos" w:eastAsia="Aptos" w:hAnsi="Aptos" w:cs="Aptos"/>
          <w:b/>
          <w:bCs/>
        </w:rPr>
        <w:t>Resolved,</w:t>
      </w:r>
      <w:r>
        <w:rPr>
          <w:rFonts w:ascii="Aptos" w:eastAsia="Aptos" w:hAnsi="Aptos" w:cs="Aptos"/>
        </w:rPr>
        <w:t xml:space="preserve"> </w:t>
      </w:r>
      <w:proofErr w:type="gramStart"/>
      <w:r>
        <w:rPr>
          <w:rFonts w:ascii="Aptos" w:eastAsia="Aptos" w:hAnsi="Aptos" w:cs="Aptos"/>
        </w:rPr>
        <w:t>That</w:t>
      </w:r>
      <w:proofErr w:type="gramEnd"/>
      <w:r>
        <w:rPr>
          <w:rFonts w:ascii="Aptos" w:eastAsia="Aptos" w:hAnsi="Aptos" w:cs="Aptos"/>
        </w:rPr>
        <w:t xml:space="preserve"> any proposed contract with external mental health or telehealth providers be subject to consultation with the Academic Senate prior to execution, and be limited to an initial term of no more than one (1) year rather than multi-year agreements, to allow for appropriate evaluation and institutional flexibility;</w:t>
      </w:r>
    </w:p>
    <w:p w14:paraId="1BF9D42F" w14:textId="77777777" w:rsidR="00B1146B" w:rsidRDefault="00B1146B" w:rsidP="00B1146B">
      <w:pPr>
        <w:spacing w:before="240" w:after="240"/>
        <w:rPr>
          <w:rFonts w:ascii="Aptos" w:eastAsia="Aptos" w:hAnsi="Aptos" w:cs="Aptos"/>
        </w:rPr>
      </w:pPr>
      <w:r>
        <w:rPr>
          <w:rFonts w:ascii="Aptos" w:eastAsia="Aptos" w:hAnsi="Aptos" w:cs="Aptos"/>
          <w:b/>
          <w:bCs/>
        </w:rPr>
        <w:t>Resolved</w:t>
      </w:r>
      <w:r>
        <w:rPr>
          <w:rFonts w:ascii="Aptos" w:eastAsia="Aptos" w:hAnsi="Aptos" w:cs="Aptos"/>
        </w:rPr>
        <w:t>, That a formal, faculty-informed evaluation process be conducted at the conclusion of the initial contract period, in consultation with the Academic Senate, including assessment of: student access and utilization; clinical quality and continuity of care; impact on on-campus psychologist capacity and workload; student experience and equity outcomes; and alignment with the intended use of state mental health funding;</w:t>
      </w:r>
    </w:p>
    <w:p w14:paraId="3D578BF0" w14:textId="314C5FE5" w:rsidR="00415708" w:rsidRPr="00415708" w:rsidRDefault="00B1146B" w:rsidP="0037363D">
      <w:pPr>
        <w:spacing w:before="240" w:after="240"/>
      </w:pPr>
      <w:r>
        <w:rPr>
          <w:rFonts w:ascii="Aptos" w:eastAsia="Aptos" w:hAnsi="Aptos" w:cs="Aptos"/>
          <w:b/>
          <w:bCs/>
        </w:rPr>
        <w:lastRenderedPageBreak/>
        <w:t>Resolved,</w:t>
      </w:r>
      <w:r>
        <w:rPr>
          <w:rFonts w:ascii="Aptos" w:eastAsia="Aptos" w:hAnsi="Aptos" w:cs="Aptos"/>
        </w:rPr>
        <w:t xml:space="preserve"> That any decision to renew, extend, or expand external mental health service contracts be contingent upon Academic Senate review and recommendation, affirming that state mental health funding must be utilized in a manner that prioritizes sustainable, campus-based, faculty-delivered services ensuring continuity of care, ethical clinical oversight, and long-term institutional capacity.</w:t>
      </w:r>
    </w:p>
    <w:p w14:paraId="62A043F6" w14:textId="77777777" w:rsidR="00415708" w:rsidRPr="00415708" w:rsidRDefault="00415708" w:rsidP="00415708">
      <w:r>
        <w:t>Date Presented:</w:t>
      </w:r>
    </w:p>
    <w:p w14:paraId="5B4E493C" w14:textId="40C8F97C" w:rsidR="003D38BE" w:rsidRPr="00415708" w:rsidRDefault="00415708">
      <w:r>
        <w:t>Date Passed:</w:t>
      </w:r>
    </w:p>
    <w:p w14:paraId="6CE32596" w14:textId="49ED8B3D" w:rsidR="74EBAD42" w:rsidRDefault="74EBAD42"/>
    <w:p w14:paraId="52F3337F" w14:textId="77777777" w:rsidR="0037363D" w:rsidRDefault="0037363D"/>
    <w:p w14:paraId="6DF4B767" w14:textId="77777777" w:rsidR="0037363D" w:rsidRDefault="0037363D"/>
    <w:p w14:paraId="2E93B513" w14:textId="40705179" w:rsidR="74EBAD42" w:rsidRDefault="74EBAD42"/>
    <w:p w14:paraId="463C495C" w14:textId="0C3A21D5" w:rsidR="74EBAD42" w:rsidRDefault="0037363D">
      <w:hyperlink r:id="rId10" w:history="1">
        <w:r w:rsidRPr="00357342">
          <w:rPr>
            <w:rStyle w:val="Hyperlink"/>
          </w:rPr>
          <w:t>https://asccc.org/resolutions/request-funding-mental-health-resources-services-and-professional-learning</w:t>
        </w:r>
      </w:hyperlink>
    </w:p>
    <w:p w14:paraId="3FA1C600" w14:textId="1DD3895D" w:rsidR="0037363D" w:rsidRDefault="0037363D">
      <w:hyperlink r:id="rId11" w:history="1">
        <w:r w:rsidRPr="00357342">
          <w:rPr>
            <w:rStyle w:val="Hyperlink"/>
          </w:rPr>
          <w:t>https://asccc.org/resolutions/addressing-health-and-well-being-crisis-among-californias-community-college-students</w:t>
        </w:r>
      </w:hyperlink>
    </w:p>
    <w:p w14:paraId="47D33BEE" w14:textId="325CBBC7" w:rsidR="0037363D" w:rsidRDefault="0037363D">
      <w:hyperlink r:id="rId12" w:history="1">
        <w:r w:rsidRPr="00357342">
          <w:rPr>
            <w:rStyle w:val="Hyperlink"/>
          </w:rPr>
          <w:t>https://www.ssccc.org/what-we-do/resolutions/mental-health-services-california-community-college-campuses</w:t>
        </w:r>
      </w:hyperlink>
    </w:p>
    <w:p w14:paraId="68E5423E" w14:textId="29F52F58" w:rsidR="0037363D" w:rsidRDefault="0037363D">
      <w:hyperlink r:id="rId13" w:history="1">
        <w:r w:rsidRPr="00357342">
          <w:rPr>
            <w:rStyle w:val="Hyperlink"/>
          </w:rPr>
          <w:t>https://www.ssccc.org/what-we-do/resolutions/increased-health-and-wellness-resources</w:t>
        </w:r>
      </w:hyperlink>
    </w:p>
    <w:p w14:paraId="7EC21A7D" w14:textId="77777777" w:rsidR="0037363D" w:rsidRDefault="0037363D"/>
    <w:sectPr w:rsidR="00373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564EE"/>
    <w:multiLevelType w:val="multilevel"/>
    <w:tmpl w:val="8636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F32EE5"/>
    <w:multiLevelType w:val="multilevel"/>
    <w:tmpl w:val="AB5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D32FC6"/>
    <w:multiLevelType w:val="multilevel"/>
    <w:tmpl w:val="08F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6367">
    <w:abstractNumId w:val="0"/>
  </w:num>
  <w:num w:numId="2" w16cid:durableId="1168640553">
    <w:abstractNumId w:val="2"/>
  </w:num>
  <w:num w:numId="3" w16cid:durableId="1890338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08"/>
    <w:rsid w:val="0008488A"/>
    <w:rsid w:val="000E4D52"/>
    <w:rsid w:val="002F6814"/>
    <w:rsid w:val="00356BFB"/>
    <w:rsid w:val="0037363D"/>
    <w:rsid w:val="003D38BE"/>
    <w:rsid w:val="00415708"/>
    <w:rsid w:val="004753A3"/>
    <w:rsid w:val="005B705F"/>
    <w:rsid w:val="005D3F2C"/>
    <w:rsid w:val="007F3D5C"/>
    <w:rsid w:val="00801338"/>
    <w:rsid w:val="00961362"/>
    <w:rsid w:val="00B1146B"/>
    <w:rsid w:val="00B72C95"/>
    <w:rsid w:val="00C64653"/>
    <w:rsid w:val="00CB41BB"/>
    <w:rsid w:val="00CB72E1"/>
    <w:rsid w:val="00E210EB"/>
    <w:rsid w:val="00E27493"/>
    <w:rsid w:val="00EB0017"/>
    <w:rsid w:val="00EB28AF"/>
    <w:rsid w:val="00F73D90"/>
    <w:rsid w:val="00FE011C"/>
    <w:rsid w:val="0CA50F90"/>
    <w:rsid w:val="0FFD2B26"/>
    <w:rsid w:val="1C72CB74"/>
    <w:rsid w:val="21C36BF1"/>
    <w:rsid w:val="4212B356"/>
    <w:rsid w:val="4EFA6CF5"/>
    <w:rsid w:val="53D7D632"/>
    <w:rsid w:val="5E3983FC"/>
    <w:rsid w:val="70D68AD1"/>
    <w:rsid w:val="74EBA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0F"/>
  <w15:chartTrackingRefBased/>
  <w15:docId w15:val="{704E6D9B-559D-1B4B-A301-8B82B41F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7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7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7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7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708"/>
    <w:rPr>
      <w:rFonts w:eastAsiaTheme="majorEastAsia" w:cstheme="majorBidi"/>
      <w:color w:val="272727" w:themeColor="text1" w:themeTint="D8"/>
    </w:rPr>
  </w:style>
  <w:style w:type="paragraph" w:styleId="Title">
    <w:name w:val="Title"/>
    <w:basedOn w:val="Normal"/>
    <w:next w:val="Normal"/>
    <w:link w:val="TitleChar"/>
    <w:uiPriority w:val="10"/>
    <w:qFormat/>
    <w:rsid w:val="004157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7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7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5708"/>
    <w:rPr>
      <w:i/>
      <w:iCs/>
      <w:color w:val="404040" w:themeColor="text1" w:themeTint="BF"/>
    </w:rPr>
  </w:style>
  <w:style w:type="paragraph" w:styleId="ListParagraph">
    <w:name w:val="List Paragraph"/>
    <w:basedOn w:val="Normal"/>
    <w:uiPriority w:val="34"/>
    <w:qFormat/>
    <w:rsid w:val="00415708"/>
    <w:pPr>
      <w:ind w:left="720"/>
      <w:contextualSpacing/>
    </w:pPr>
  </w:style>
  <w:style w:type="character" w:styleId="IntenseEmphasis">
    <w:name w:val="Intense Emphasis"/>
    <w:basedOn w:val="DefaultParagraphFont"/>
    <w:uiPriority w:val="21"/>
    <w:qFormat/>
    <w:rsid w:val="00415708"/>
    <w:rPr>
      <w:i/>
      <w:iCs/>
      <w:color w:val="0F4761" w:themeColor="accent1" w:themeShade="BF"/>
    </w:rPr>
  </w:style>
  <w:style w:type="paragraph" w:styleId="IntenseQuote">
    <w:name w:val="Intense Quote"/>
    <w:basedOn w:val="Normal"/>
    <w:next w:val="Normal"/>
    <w:link w:val="IntenseQuoteChar"/>
    <w:uiPriority w:val="30"/>
    <w:qFormat/>
    <w:rsid w:val="00415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708"/>
    <w:rPr>
      <w:i/>
      <w:iCs/>
      <w:color w:val="0F4761" w:themeColor="accent1" w:themeShade="BF"/>
    </w:rPr>
  </w:style>
  <w:style w:type="character" w:styleId="IntenseReference">
    <w:name w:val="Intense Reference"/>
    <w:basedOn w:val="DefaultParagraphFont"/>
    <w:uiPriority w:val="32"/>
    <w:qFormat/>
    <w:rsid w:val="00415708"/>
    <w:rPr>
      <w:b/>
      <w:bCs/>
      <w:smallCaps/>
      <w:color w:val="0F4761" w:themeColor="accent1" w:themeShade="BF"/>
      <w:spacing w:val="5"/>
    </w:rPr>
  </w:style>
  <w:style w:type="character" w:styleId="Hyperlink">
    <w:name w:val="Hyperlink"/>
    <w:basedOn w:val="DefaultParagraphFont"/>
    <w:uiPriority w:val="99"/>
    <w:unhideWhenUsed/>
    <w:rsid w:val="0037363D"/>
    <w:rPr>
      <w:color w:val="467886" w:themeColor="hyperlink"/>
      <w:u w:val="single"/>
    </w:rPr>
  </w:style>
  <w:style w:type="character" w:styleId="UnresolvedMention">
    <w:name w:val="Unresolved Mention"/>
    <w:basedOn w:val="DefaultParagraphFont"/>
    <w:uiPriority w:val="99"/>
    <w:semiHidden/>
    <w:unhideWhenUsed/>
    <w:rsid w:val="00373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53053">
      <w:bodyDiv w:val="1"/>
      <w:marLeft w:val="0"/>
      <w:marRight w:val="0"/>
      <w:marTop w:val="0"/>
      <w:marBottom w:val="0"/>
      <w:divBdr>
        <w:top w:val="none" w:sz="0" w:space="0" w:color="auto"/>
        <w:left w:val="none" w:sz="0" w:space="0" w:color="auto"/>
        <w:bottom w:val="none" w:sz="0" w:space="0" w:color="auto"/>
        <w:right w:val="none" w:sz="0" w:space="0" w:color="auto"/>
      </w:divBdr>
    </w:div>
    <w:div w:id="11035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c.org/resolutions/addressing-health-and-well-being-crisis-among-californias-community-college-students" TargetMode="External"/><Relationship Id="rId13" Type="http://schemas.openxmlformats.org/officeDocument/2006/relationships/hyperlink" Target="https://www.ssccc.org/what-we-do/resolutions/increased-health-and-wellness-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ccc.org/what-we-do/resolutions/mental-health-services-california-community-college-campus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ccc.org/resolutions/addressing-health-and-well-being-crisis-among-californias-community-college-stud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ccc.org/resolutions/request-funding-mental-health-resources-services-and-professional-learning" TargetMode="External"/><Relationship Id="rId4" Type="http://schemas.openxmlformats.org/officeDocument/2006/relationships/numbering" Target="numbering.xml"/><Relationship Id="rId9" Type="http://schemas.openxmlformats.org/officeDocument/2006/relationships/hyperlink" Target="https://asccc.org/resolutions/addressing-health-and-well-being-crisis-among-californias-community-college-stud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cb9adc-ec33-475f-8130-c1c307b91901">
      <Terms xmlns="http://schemas.microsoft.com/office/infopath/2007/PartnerControls"/>
    </lcf76f155ced4ddcb4097134ff3c332f>
    <TaxCatchAll xmlns="12292255-f18b-4d92-9e60-ebc7b63bbd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16" ma:contentTypeDescription="Create a new document." ma:contentTypeScope="" ma:versionID="23b7b04e8407bde36e17f9314d30e079">
  <xsd:schema xmlns:xsd="http://www.w3.org/2001/XMLSchema" xmlns:xs="http://www.w3.org/2001/XMLSchema" xmlns:p="http://schemas.microsoft.com/office/2006/metadata/properties" xmlns:ns2="1acb9adc-ec33-475f-8130-c1c307b91901" xmlns:ns3="12292255-f18b-4d92-9e60-ebc7b63bbd6b" targetNamespace="http://schemas.microsoft.com/office/2006/metadata/properties" ma:root="true" ma:fieldsID="4e29a7c4c17243f6872a4a50572baf86" ns2:_="" ns3:_="">
    <xsd:import namespace="1acb9adc-ec33-475f-8130-c1c307b91901"/>
    <xsd:import namespace="12292255-f18b-4d92-9e60-ebc7b63bb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abad1b-d29f-4535-a4fd-e790a0fa6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92255-f18b-4d92-9e60-ebc7b63bbd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b1fe82-0789-4bbc-94a6-407bd51118ce}" ma:internalName="TaxCatchAll" ma:showField="CatchAllData" ma:web="12292255-f18b-4d92-9e60-ebc7b63bb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D8439-347C-41C1-AABF-255C93AA27E0}">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E1C5167C-06B6-4997-BA6B-7F3A09E23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12292255-f18b-4d92-9e60-ebc7b63bb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FBAEF-0F62-4839-8CBA-E4B44E355731}">
  <ds:schemaRefs>
    <ds:schemaRef ds:uri="http://schemas.microsoft.com/sharepoint/v3/contenttype/forms"/>
  </ds:schemaRefs>
</ds:datastoreItem>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Jill</dc:creator>
  <cp:keywords/>
  <dc:description/>
  <cp:lastModifiedBy>Cass, Ann</cp:lastModifiedBy>
  <cp:revision>3</cp:revision>
  <dcterms:created xsi:type="dcterms:W3CDTF">2026-05-08T18:03:00Z</dcterms:created>
  <dcterms:modified xsi:type="dcterms:W3CDTF">2026-05-08T19:52:00Z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y fmtid="{D5CDD505-2E9C-101B-9397-08002B2CF9AE}" pid="3" name="MediaServiceImageTags">
    <vt:lpwstr/>
  </property>
</Properties>
</file>