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4682901" w:rsidP="54682901" w:rsidRDefault="008D73E3" w14:paraId="3E5863D8" w14:textId="6A404195">
      <w:pPr>
        <w:rPr>
          <w:rFonts w:ascii="Aptos" w:hAnsi="Aptos" w:eastAsia="Aptos" w:cs="Aptos"/>
          <w:b/>
          <w:bCs/>
          <w:color w:val="C00000"/>
          <w:sz w:val="28"/>
          <w:szCs w:val="28"/>
        </w:rPr>
      </w:pPr>
      <w:r>
        <w:rPr>
          <w:rFonts w:ascii="Aptos" w:hAnsi="Aptos" w:eastAsia="Aptos" w:cs="Aptos"/>
          <w:b/>
          <w:bCs/>
          <w:color w:val="C00000"/>
          <w:sz w:val="28"/>
          <w:szCs w:val="28"/>
        </w:rPr>
        <w:t xml:space="preserve">Resolution S2026.02 </w:t>
      </w:r>
      <w:r w:rsidRPr="008D73E3">
        <w:rPr>
          <w:rFonts w:ascii="Aptos" w:hAnsi="Aptos" w:eastAsia="Aptos" w:cs="Aptos"/>
          <w:b/>
          <w:bCs/>
          <w:color w:val="C00000"/>
          <w:sz w:val="28"/>
          <w:szCs w:val="28"/>
        </w:rPr>
        <w:t>Creation of a Joint Task Force to Develop a Local Process for Excused</w:t>
      </w:r>
      <w:r>
        <w:rPr>
          <w:rFonts w:ascii="Aptos" w:hAnsi="Aptos" w:eastAsia="Aptos" w:cs="Aptos"/>
          <w:b/>
          <w:bCs/>
          <w:color w:val="C00000"/>
          <w:sz w:val="28"/>
          <w:szCs w:val="28"/>
        </w:rPr>
        <w:t xml:space="preserve"> </w:t>
      </w:r>
      <w:r w:rsidRPr="008D73E3">
        <w:rPr>
          <w:rFonts w:ascii="Aptos" w:hAnsi="Aptos" w:eastAsia="Aptos" w:cs="Aptos"/>
          <w:b/>
          <w:bCs/>
          <w:color w:val="C00000"/>
          <w:sz w:val="28"/>
          <w:szCs w:val="28"/>
        </w:rPr>
        <w:t>Withdrawals After Course Completion</w:t>
      </w:r>
    </w:p>
    <w:p w:rsidR="008D73E3" w:rsidP="54682901" w:rsidRDefault="008D73E3" w14:paraId="26AE74AC" w14:textId="77777777">
      <w:pPr>
        <w:rPr>
          <w:rFonts w:ascii="Aptos" w:hAnsi="Aptos" w:eastAsia="Aptos" w:cs="Aptos"/>
          <w:b/>
          <w:bCs/>
          <w:color w:val="C00000"/>
          <w:sz w:val="28"/>
          <w:szCs w:val="28"/>
        </w:rPr>
      </w:pPr>
    </w:p>
    <w:p w:rsidRPr="008D73E3" w:rsidR="008D73E3" w:rsidP="54682901" w:rsidRDefault="008D73E3" w14:paraId="6684E39A" w14:textId="01FEC671">
      <w:pPr>
        <w:rPr>
          <w:rFonts w:ascii="Aptos" w:hAnsi="Aptos" w:eastAsia="Aptos" w:cs="Aptos"/>
          <w:b/>
          <w:bCs/>
        </w:rPr>
      </w:pPr>
      <w:r w:rsidRPr="008D73E3">
        <w:rPr>
          <w:rFonts w:ascii="Aptos" w:hAnsi="Aptos" w:eastAsia="Aptos" w:cs="Aptos"/>
          <w:b/>
          <w:bCs/>
        </w:rPr>
        <w:t>Moved:</w:t>
      </w:r>
    </w:p>
    <w:p w:rsidRPr="008D73E3" w:rsidR="008D73E3" w:rsidP="54682901" w:rsidRDefault="008D73E3" w14:paraId="3BBB78A7" w14:textId="73824C95">
      <w:pPr>
        <w:rPr>
          <w:rFonts w:ascii="Aptos" w:hAnsi="Aptos" w:eastAsia="Aptos" w:cs="Aptos"/>
          <w:b/>
          <w:bCs/>
          <w:color w:val="C00000"/>
        </w:rPr>
      </w:pPr>
      <w:proofErr w:type="gramStart"/>
      <w:r w:rsidRPr="008D73E3">
        <w:rPr>
          <w:rFonts w:ascii="Aptos" w:hAnsi="Aptos" w:eastAsia="Aptos" w:cs="Aptos"/>
          <w:b/>
          <w:bCs/>
        </w:rPr>
        <w:t>Seconded</w:t>
      </w:r>
      <w:proofErr w:type="gramEnd"/>
      <w:r w:rsidRPr="008D73E3">
        <w:rPr>
          <w:rFonts w:ascii="Aptos" w:hAnsi="Aptos" w:eastAsia="Aptos" w:cs="Aptos"/>
          <w:b/>
          <w:bCs/>
        </w:rPr>
        <w:t>:</w:t>
      </w:r>
      <w:r w:rsidRPr="008D73E3">
        <w:rPr>
          <w:rFonts w:ascii="Aptos" w:hAnsi="Aptos" w:eastAsia="Aptos" w:cs="Aptos"/>
          <w:b/>
          <w:bCs/>
          <w:color w:val="C00000"/>
        </w:rPr>
        <w:t xml:space="preserve"> </w:t>
      </w:r>
    </w:p>
    <w:p w:rsidR="008D73E3" w:rsidP="54682901" w:rsidRDefault="008D73E3" w14:paraId="6892DBDC" w14:textId="77777777">
      <w:pPr>
        <w:rPr>
          <w:rFonts w:ascii="Aptos" w:hAnsi="Aptos" w:eastAsia="Aptos" w:cs="Aptos"/>
          <w:b/>
          <w:bCs/>
          <w:color w:val="C00000"/>
          <w:sz w:val="28"/>
          <w:szCs w:val="28"/>
        </w:rPr>
      </w:pPr>
    </w:p>
    <w:p w:rsidR="008D73E3" w:rsidP="008D73E3" w:rsidRDefault="008D73E3" w14:paraId="1CFE2B5B" w14:textId="77777777">
      <w:pPr>
        <w:rPr>
          <w:rFonts w:ascii="Arial" w:hAnsi="Arial" w:cs="Arial"/>
          <w:sz w:val="22"/>
          <w:szCs w:val="22"/>
        </w:rPr>
      </w:pPr>
      <w:r>
        <w:rPr>
          <w:rFonts w:ascii="Arial" w:hAnsi="Arial" w:cs="Arial"/>
          <w:b/>
          <w:bCs/>
          <w:sz w:val="22"/>
          <w:szCs w:val="22"/>
        </w:rPr>
        <w:t xml:space="preserve">Whereas </w:t>
      </w:r>
      <w:r>
        <w:rPr>
          <w:rFonts w:ascii="Arial" w:hAnsi="Arial" w:cs="Arial"/>
          <w:sz w:val="22"/>
          <w:szCs w:val="22"/>
        </w:rPr>
        <w:t>Title 5 §53200 assigns to the Academic Senate primary responsibility for academic and professional matters, known as the “10+1”; and</w:t>
      </w:r>
    </w:p>
    <w:p w:rsidR="008D73E3" w:rsidP="008D73E3" w:rsidRDefault="008D73E3" w14:paraId="5DD20B43" w14:textId="77777777">
      <w:pPr>
        <w:rPr>
          <w:rFonts w:ascii="Arial" w:hAnsi="Arial" w:cs="Arial"/>
          <w:sz w:val="22"/>
          <w:szCs w:val="22"/>
        </w:rPr>
      </w:pPr>
    </w:p>
    <w:p w:rsidR="008D73E3" w:rsidP="008D73E3" w:rsidRDefault="008D73E3" w14:paraId="5E06F4EF" w14:textId="77777777">
      <w:pPr>
        <w:rPr>
          <w:rFonts w:ascii="Arial" w:hAnsi="Arial" w:cs="Arial"/>
          <w:sz w:val="22"/>
          <w:szCs w:val="22"/>
        </w:rPr>
      </w:pPr>
      <w:r>
        <w:rPr>
          <w:rFonts w:ascii="Arial" w:hAnsi="Arial" w:cs="Arial"/>
          <w:b/>
          <w:bCs/>
          <w:sz w:val="22"/>
          <w:szCs w:val="22"/>
        </w:rPr>
        <w:t xml:space="preserve">Whereas </w:t>
      </w:r>
      <w:r>
        <w:rPr>
          <w:rFonts w:ascii="Arial" w:hAnsi="Arial" w:cs="Arial"/>
          <w:sz w:val="22"/>
          <w:szCs w:val="22"/>
        </w:rPr>
        <w:t>among the “10+1,” governing boards are required to rely primarily upon the advice and judgment of the Academic Senate in matters including curriculum, degree and certificate requirements, grading policies, and standards regarding student preparation and success; and</w:t>
      </w:r>
    </w:p>
    <w:p w:rsidR="008D73E3" w:rsidP="008D73E3" w:rsidRDefault="008D73E3" w14:paraId="4BEF6EBB" w14:textId="77777777">
      <w:pPr>
        <w:rPr>
          <w:rFonts w:ascii="Arial" w:hAnsi="Arial" w:cs="Arial"/>
          <w:sz w:val="22"/>
          <w:szCs w:val="22"/>
        </w:rPr>
      </w:pPr>
    </w:p>
    <w:p w:rsidR="008D73E3" w:rsidP="008D73E3" w:rsidRDefault="008D73E3" w14:paraId="3B77EA14" w14:textId="77777777">
      <w:pPr>
        <w:rPr>
          <w:rFonts w:ascii="Arial" w:hAnsi="Arial" w:cs="Arial"/>
          <w:sz w:val="22"/>
          <w:szCs w:val="22"/>
        </w:rPr>
      </w:pPr>
      <w:r>
        <w:rPr>
          <w:rFonts w:ascii="Arial" w:hAnsi="Arial" w:cs="Arial"/>
          <w:b/>
          <w:bCs/>
          <w:sz w:val="22"/>
          <w:szCs w:val="22"/>
        </w:rPr>
        <w:t xml:space="preserve">Whereas </w:t>
      </w:r>
      <w:r>
        <w:rPr>
          <w:rFonts w:ascii="Arial" w:hAnsi="Arial" w:cs="Arial"/>
          <w:sz w:val="22"/>
          <w:szCs w:val="22"/>
        </w:rPr>
        <w:t>policies and procedures related to grade changes and the assignment of an Excused Withdrawal (EW) are directly connected to grading policies and therefore fall squarely within faculty purview under Title 5; and</w:t>
      </w:r>
    </w:p>
    <w:p w:rsidR="008D73E3" w:rsidP="008D73E3" w:rsidRDefault="008D73E3" w14:paraId="025BDB8F" w14:textId="77777777">
      <w:pPr>
        <w:rPr>
          <w:rFonts w:ascii="Arial" w:hAnsi="Arial" w:cs="Arial"/>
          <w:sz w:val="22"/>
          <w:szCs w:val="22"/>
        </w:rPr>
      </w:pPr>
    </w:p>
    <w:p w:rsidR="008D73E3" w:rsidP="008D73E3" w:rsidRDefault="008D73E3" w14:paraId="1902ABB5" w14:textId="77777777">
      <w:pPr>
        <w:rPr>
          <w:rFonts w:ascii="Arial" w:hAnsi="Arial" w:cs="Arial"/>
          <w:sz w:val="22"/>
          <w:szCs w:val="22"/>
        </w:rPr>
      </w:pPr>
      <w:r>
        <w:rPr>
          <w:rFonts w:ascii="Arial" w:hAnsi="Arial" w:cs="Arial"/>
          <w:b/>
          <w:bCs/>
          <w:sz w:val="22"/>
          <w:szCs w:val="22"/>
        </w:rPr>
        <w:t xml:space="preserve">Whereas </w:t>
      </w:r>
      <w:r>
        <w:rPr>
          <w:rFonts w:ascii="Arial" w:hAnsi="Arial" w:cs="Arial"/>
          <w:sz w:val="22"/>
          <w:szCs w:val="22"/>
        </w:rPr>
        <w:t>Administrative Regulation 4231 – Grade Changes, recently approved by the Academic Senates of Santiago Canyon College and Santa Ana College, incorporates Title 5 language stating that “supporting documentation shall not be required for consideration,” and faculty at Santiago Canyon College emphasized the importance of developing a clear, fair, and locally determined process for evaluating requests for Excused Withdrawals after course completion, including consideration of documentation when appropriate, in order to support equitable student access while maintaining the integrity of the grading process;</w:t>
      </w:r>
    </w:p>
    <w:p w:rsidR="008D73E3" w:rsidP="008D73E3" w:rsidRDefault="008D73E3" w14:paraId="1681FF6C" w14:textId="77777777">
      <w:pPr>
        <w:rPr>
          <w:rFonts w:ascii="Arial" w:hAnsi="Arial" w:cs="Arial"/>
          <w:sz w:val="22"/>
          <w:szCs w:val="22"/>
        </w:rPr>
      </w:pPr>
    </w:p>
    <w:p w:rsidR="008D73E3" w:rsidP="008D73E3" w:rsidRDefault="008D73E3" w14:paraId="1430935A" w14:textId="77777777">
      <w:pPr>
        <w:rPr>
          <w:rFonts w:ascii="Arial" w:hAnsi="Arial" w:cs="Arial"/>
          <w:sz w:val="22"/>
          <w:szCs w:val="22"/>
        </w:rPr>
      </w:pPr>
      <w:r>
        <w:rPr>
          <w:rFonts w:ascii="Arial" w:hAnsi="Arial" w:cs="Arial"/>
          <w:b/>
          <w:bCs/>
          <w:sz w:val="22"/>
          <w:szCs w:val="22"/>
        </w:rPr>
        <w:t xml:space="preserve">Resolved </w:t>
      </w:r>
      <w:r>
        <w:rPr>
          <w:rFonts w:ascii="Arial" w:hAnsi="Arial" w:cs="Arial"/>
          <w:sz w:val="22"/>
          <w:szCs w:val="22"/>
        </w:rPr>
        <w:t>that, consistent with Title 5 §53200 and the Academic Senate’s primacy in grading policies, the Academic Senates of Santiago Canyon College and Santa Ana College establish a joint, faculty-led task force to review current practices and develop recommendations for a local process for assigning Excused Withdrawals after a course has been completed; and</w:t>
      </w:r>
    </w:p>
    <w:p w:rsidR="008D73E3" w:rsidP="008D73E3" w:rsidRDefault="008D73E3" w14:paraId="26919141" w14:textId="77777777">
      <w:pPr>
        <w:rPr>
          <w:rFonts w:ascii="Arial" w:hAnsi="Arial" w:cs="Arial"/>
          <w:sz w:val="22"/>
          <w:szCs w:val="22"/>
        </w:rPr>
      </w:pPr>
    </w:p>
    <w:p w:rsidR="008D73E3" w:rsidP="008D73E3" w:rsidRDefault="008D73E3" w14:paraId="397E2EE0" w14:textId="77777777">
      <w:pPr>
        <w:rPr>
          <w:rFonts w:ascii="Arial" w:hAnsi="Arial" w:cs="Arial"/>
          <w:sz w:val="22"/>
          <w:szCs w:val="22"/>
        </w:rPr>
      </w:pPr>
      <w:r>
        <w:rPr>
          <w:rFonts w:ascii="Arial" w:hAnsi="Arial" w:cs="Arial"/>
          <w:b/>
          <w:bCs/>
          <w:sz w:val="22"/>
          <w:szCs w:val="22"/>
        </w:rPr>
        <w:t xml:space="preserve">Resolved </w:t>
      </w:r>
      <w:r>
        <w:rPr>
          <w:rFonts w:ascii="Arial" w:hAnsi="Arial" w:cs="Arial"/>
          <w:sz w:val="22"/>
          <w:szCs w:val="22"/>
        </w:rPr>
        <w:t xml:space="preserve">that the task force </w:t>
      </w:r>
      <w:proofErr w:type="gramStart"/>
      <w:r>
        <w:rPr>
          <w:rFonts w:ascii="Arial" w:hAnsi="Arial" w:cs="Arial"/>
          <w:sz w:val="22"/>
          <w:szCs w:val="22"/>
        </w:rPr>
        <w:t>include</w:t>
      </w:r>
      <w:proofErr w:type="gramEnd"/>
      <w:r>
        <w:rPr>
          <w:rFonts w:ascii="Arial" w:hAnsi="Arial" w:cs="Arial"/>
          <w:sz w:val="22"/>
          <w:szCs w:val="22"/>
        </w:rPr>
        <w:t xml:space="preserve"> faculty and counselor representatives from both colleges, including representation from Santiago Canyon College’s Exceptions to Academic Regulations (EAR) Committee and Santa Ana College’s Admissions and Guidance (A&amp;G) Committee, as well as additional faculty and student participants appointed by or expressing interest through their respective Senates; and</w:t>
      </w:r>
    </w:p>
    <w:p w:rsidR="008D73E3" w:rsidP="008D73E3" w:rsidRDefault="008D73E3" w14:paraId="38D90D0F" w14:textId="77777777">
      <w:pPr>
        <w:rPr>
          <w:rFonts w:ascii="Arial" w:hAnsi="Arial" w:cs="Arial"/>
          <w:sz w:val="22"/>
          <w:szCs w:val="22"/>
        </w:rPr>
      </w:pPr>
    </w:p>
    <w:p w:rsidR="008D73E3" w:rsidP="008D73E3" w:rsidRDefault="008D73E3" w14:paraId="79D6CF70" w14:textId="0E7776A0">
      <w:pPr>
        <w:rPr>
          <w:rFonts w:ascii="Arial" w:hAnsi="Arial" w:cs="Arial"/>
          <w:b/>
          <w:bCs/>
          <w:sz w:val="22"/>
          <w:szCs w:val="22"/>
        </w:rPr>
      </w:pPr>
      <w:r>
        <w:rPr>
          <w:rFonts w:ascii="Arial" w:hAnsi="Arial" w:cs="Arial"/>
          <w:b/>
          <w:bCs/>
          <w:sz w:val="22"/>
          <w:szCs w:val="22"/>
        </w:rPr>
        <w:t xml:space="preserve">Resolved </w:t>
      </w:r>
      <w:r>
        <w:rPr>
          <w:rFonts w:ascii="Arial" w:hAnsi="Arial" w:cs="Arial"/>
          <w:sz w:val="22"/>
          <w:szCs w:val="22"/>
        </w:rPr>
        <w:t xml:space="preserve">that the task force be led by </w:t>
      </w:r>
      <w:r>
        <w:rPr>
          <w:rFonts w:ascii="Arial" w:hAnsi="Arial" w:cs="Arial"/>
          <w:sz w:val="22"/>
          <w:szCs w:val="22"/>
        </w:rPr>
        <w:t xml:space="preserve">SCC </w:t>
      </w:r>
      <w:r>
        <w:rPr>
          <w:rFonts w:ascii="Arial" w:hAnsi="Arial" w:cs="Arial"/>
          <w:sz w:val="22"/>
          <w:szCs w:val="22"/>
        </w:rPr>
        <w:t xml:space="preserve">Academic Senate Secretary/Treasurer Song Graham and bring forward recommendations to both Academic Senates for review and </w:t>
      </w:r>
      <w:proofErr w:type="gramStart"/>
      <w:r>
        <w:rPr>
          <w:rFonts w:ascii="Arial" w:hAnsi="Arial" w:cs="Arial"/>
          <w:sz w:val="22"/>
          <w:szCs w:val="22"/>
        </w:rPr>
        <w:t>approval, and</w:t>
      </w:r>
      <w:proofErr w:type="gramEnd"/>
      <w:r>
        <w:rPr>
          <w:rFonts w:ascii="Arial" w:hAnsi="Arial" w:cs="Arial"/>
          <w:sz w:val="22"/>
          <w:szCs w:val="22"/>
        </w:rPr>
        <w:t xml:space="preserve"> subsequently forward the proposed process to the appropriate college and district shared governance bodies for review, feedback, and adoption, with the goal of implementation beginning Fall 2027.</w:t>
      </w:r>
    </w:p>
    <w:p w:rsidRPr="008D73E3" w:rsidR="008D73E3" w:rsidP="54682901" w:rsidRDefault="008D73E3" w14:paraId="35617889" w14:textId="77777777">
      <w:pPr>
        <w:rPr>
          <w:rFonts w:ascii="Aptos" w:hAnsi="Aptos" w:eastAsia="Aptos" w:cs="Aptos"/>
          <w:b/>
          <w:bCs/>
          <w:color w:val="C00000"/>
        </w:rPr>
      </w:pPr>
    </w:p>
    <w:p w:rsidRPr="008D73E3" w:rsidR="008D73E3" w:rsidP="54682901" w:rsidRDefault="008D73E3" w14:paraId="03BA85D7" w14:textId="328BB877">
      <w:pPr>
        <w:rPr>
          <w:rFonts w:ascii="Aptos" w:hAnsi="Aptos" w:eastAsia="Aptos" w:cs="Aptos"/>
          <w:b/>
          <w:bCs/>
        </w:rPr>
      </w:pPr>
      <w:r w:rsidRPr="008D73E3">
        <w:rPr>
          <w:rFonts w:ascii="Aptos" w:hAnsi="Aptos" w:eastAsia="Aptos" w:cs="Aptos"/>
          <w:b/>
          <w:bCs/>
        </w:rPr>
        <w:t>Date Presented:</w:t>
      </w:r>
    </w:p>
    <w:p w:rsidRPr="008D73E3" w:rsidR="008D73E3" w:rsidP="54682901" w:rsidRDefault="008D73E3" w14:paraId="22220A8F" w14:textId="6EACA71A">
      <w:pPr>
        <w:rPr>
          <w:rFonts w:ascii="Aptos" w:hAnsi="Aptos" w:eastAsia="Aptos" w:cs="Aptos"/>
          <w:b/>
          <w:bCs/>
        </w:rPr>
      </w:pPr>
      <w:r w:rsidRPr="008D73E3">
        <w:rPr>
          <w:rFonts w:ascii="Aptos" w:hAnsi="Aptos" w:eastAsia="Aptos" w:cs="Aptos"/>
          <w:b/>
          <w:bCs/>
        </w:rPr>
        <w:t>Date Passed:</w:t>
      </w:r>
    </w:p>
    <w:sectPr w:rsidRPr="008D73E3" w:rsidR="008D73E3" w:rsidSect="00CC3B6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DDF" w:rsidP="00541729" w:rsidRDefault="009B5DDF" w14:paraId="43EF6103" w14:textId="77777777">
      <w:r>
        <w:separator/>
      </w:r>
    </w:p>
  </w:endnote>
  <w:endnote w:type="continuationSeparator" w:id="0">
    <w:p w:rsidR="009B5DDF" w:rsidP="00541729" w:rsidRDefault="009B5DDF" w14:paraId="5B9201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67DF" w:rsidR="00815279" w:rsidP="008567DF" w:rsidRDefault="1623B76C" w14:paraId="4F6D7C55" w14:textId="6CB865EC">
    <w:pPr>
      <w:pStyle w:val="Footer"/>
      <w:jc w:val="center"/>
      <w:rPr>
        <w:rFonts w:ascii="Neutraface Text Book" w:hAnsi="Neutraface Text Book"/>
        <w:sz w:val="18"/>
        <w:szCs w:val="18"/>
      </w:rPr>
    </w:pPr>
    <w:r w:rsidRPr="1623B76C">
      <w:rPr>
        <w:rFonts w:ascii="Neutraface Text Demi" w:hAnsi="Neutraface Text Demi"/>
        <w:b/>
        <w:bCs/>
        <w:sz w:val="18"/>
        <w:szCs w:val="18"/>
      </w:rPr>
      <w:t>President,</w:t>
    </w:r>
    <w:r w:rsidRPr="1623B76C">
      <w:rPr>
        <w:rFonts w:ascii="Neutraface Text Book" w:hAnsi="Neutraface Text Book"/>
        <w:sz w:val="18"/>
        <w:szCs w:val="18"/>
      </w:rPr>
      <w:t xml:space="preserve"> Claire M. Coyne • </w:t>
    </w:r>
    <w:r w:rsidRPr="1623B76C">
      <w:rPr>
        <w:rFonts w:ascii="Neutraface Text Demi" w:hAnsi="Neutraface Text Demi"/>
        <w:b/>
        <w:bCs/>
        <w:sz w:val="18"/>
        <w:szCs w:val="18"/>
      </w:rPr>
      <w:t>Vice President, Culture &amp; Engagement</w:t>
    </w:r>
    <w:r w:rsidRPr="1623B76C">
      <w:rPr>
        <w:rFonts w:ascii="Neutraface Text Book" w:hAnsi="Neutraface Text Book"/>
        <w:sz w:val="18"/>
        <w:szCs w:val="18"/>
      </w:rPr>
      <w:t>, Maria Aguilar Beltr</w:t>
    </w:r>
    <w:r w:rsidRPr="1623B76C">
      <w:rPr>
        <w:rFonts w:ascii="Neutraface Text Book" w:hAnsi="Neutraface Text Book" w:eastAsia="Calibri" w:cs="Arial"/>
        <w:sz w:val="18"/>
        <w:szCs w:val="18"/>
      </w:rPr>
      <w:t>á</w:t>
    </w:r>
    <w:r w:rsidRPr="1623B76C">
      <w:rPr>
        <w:rFonts w:ascii="Neutraface Text Book" w:hAnsi="Neutraface Text Book"/>
        <w:sz w:val="18"/>
        <w:szCs w:val="18"/>
      </w:rPr>
      <w:t>n</w:t>
    </w:r>
  </w:p>
  <w:p w:rsidR="3EDFCB7D" w:rsidP="3EDFCB7D" w:rsidRDefault="3EDFCB7D" w14:paraId="366D3018" w14:textId="746A6901">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rsidRPr="008567DF" w:rsidR="00DC0D52" w:rsidP="7561FD7E" w:rsidRDefault="1A9CC44C" w14:paraId="3BA91D41" w14:textId="6D0C510B">
    <w:pPr>
      <w:pStyle w:val="Footer"/>
      <w:jc w:val="center"/>
      <w:rPr>
        <w:rFonts w:ascii="Neutraface Text Book" w:hAnsi="Neutraface Text Book"/>
        <w:sz w:val="18"/>
        <w:szCs w:val="18"/>
      </w:rPr>
    </w:pPr>
    <w:r w:rsidRPr="1A9CC44C">
      <w:rPr>
        <w:rFonts w:ascii="Times New Roman" w:hAnsi="Times New Roman" w:cs="Times New Roman"/>
        <w:sz w:val="18"/>
        <w:szCs w:val="18"/>
      </w:rPr>
      <w:t>​</w:t>
    </w:r>
    <w:r w:rsidRPr="1A9CC44C">
      <w:rPr>
        <w:rFonts w:ascii="Neutraface Text Demi" w:hAnsi="Neutraface Text Demi"/>
        <w:b/>
        <w:bCs/>
        <w:sz w:val="18"/>
        <w:szCs w:val="18"/>
      </w:rPr>
      <w:t>Parliamentarian</w:t>
    </w:r>
    <w:r w:rsidRPr="1A9CC44C">
      <w:rPr>
        <w:rFonts w:ascii="Neutraface Text Book" w:hAnsi="Neutraface Text Book"/>
        <w:sz w:val="18"/>
        <w:szCs w:val="18"/>
      </w:rPr>
      <w:t xml:space="preserve">, </w:t>
    </w:r>
    <w:r w:rsidRPr="1A9CC44C">
      <w:rPr>
        <w:rFonts w:ascii="Times New Roman" w:hAnsi="Times New Roman" w:cs="Times New Roman"/>
        <w:sz w:val="18"/>
        <w:szCs w:val="18"/>
      </w:rPr>
      <w:t>​</w:t>
    </w:r>
    <w:r w:rsidRPr="1A9CC44C">
      <w:rPr>
        <w:rFonts w:ascii="Neutraface Text Book" w:hAnsi="Neutraface Text Book"/>
        <w:sz w:val="18"/>
        <w:szCs w:val="18"/>
      </w:rPr>
      <w:t>Alejandro Moreno</w:t>
    </w:r>
  </w:p>
  <w:p w:rsidRPr="008567DF" w:rsidR="00DC0D52" w:rsidP="008567DF" w:rsidRDefault="1A9CC44C" w14:paraId="68D0364A" w14:textId="477BE5F4">
    <w:pPr>
      <w:pStyle w:val="Footer"/>
      <w:jc w:val="center"/>
      <w:rPr>
        <w:rFonts w:ascii="Neutraface Text Book" w:hAnsi="Neutraface Text Book"/>
        <w:sz w:val="18"/>
        <w:szCs w:val="18"/>
      </w:rPr>
    </w:pPr>
    <w:r w:rsidRPr="1A9CC44C">
      <w:rPr>
        <w:rFonts w:ascii="Neutraface Text Book" w:hAnsi="Neutraface Text Book"/>
        <w:b/>
        <w:bCs/>
        <w:sz w:val="18"/>
        <w:szCs w:val="18"/>
      </w:rPr>
      <w:t>Full-time Members At-large</w:t>
    </w:r>
    <w:r w:rsidRPr="1A9CC44C">
      <w:rPr>
        <w:rFonts w:ascii="Neutraface Text Book" w:hAnsi="Neutraface Text Book"/>
        <w:sz w:val="18"/>
        <w:szCs w:val="18"/>
      </w:rPr>
      <w:t>, Fleur Fong • Jennie Beltran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DDF" w:rsidP="00541729" w:rsidRDefault="009B5DDF" w14:paraId="764193DD" w14:textId="77777777">
      <w:r>
        <w:separator/>
      </w:r>
    </w:p>
  </w:footnote>
  <w:footnote w:type="continuationSeparator" w:id="0">
    <w:p w:rsidR="009B5DDF" w:rsidP="00541729" w:rsidRDefault="009B5DDF" w14:paraId="40CB5B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E238F8" w14:paraId="4A4370C6" w14:textId="051C54F6">
    <w:pPr>
      <w:pStyle w:val="Header"/>
    </w:pPr>
    <w:r>
      <w:rPr>
        <w:noProof/>
      </w:rPr>
      <w:pict w14:anchorId="0E198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437.15pt;height:222.7pt;rotation:315;z-index:-251652096;mso-position-horizontal:center;mso-position-horizontal-relative:margin;mso-position-vertical:center;mso-position-vertical-relative:margin" o:allowincell="f" fillcolor="silver" stroked="f" type="#_x0000_t136">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41729" w:rsidP="001C603D" w:rsidRDefault="00E238F8" w14:paraId="2A3F20E2" w14:textId="6EAC922E">
    <w:pPr>
      <w:pStyle w:val="Header"/>
      <w:spacing w:after="120"/>
      <w:jc w:val="both"/>
    </w:pPr>
    <w:r w:rsidRPr="00FE440C" w:rsid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E238F8" w14:paraId="31EE4DB9" w14:textId="0A9B4B70">
    <w:pPr>
      <w:pStyle w:val="Header"/>
    </w:pPr>
    <w:r>
      <w:rPr>
        <w:noProof/>
      </w:rPr>
      <w:pict w14:anchorId="46176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437.15pt;height:222.7pt;rotation:315;z-index:-251654144;mso-position-horizontal:center;mso-position-horizontal-relative:margin;mso-position-vertical:center;mso-position-vertical-relative:margin" o:spid="_x0000_s1025" o:allowincell="f" fillcolor="silver" stroked="f" type="#_x0000_t136">
          <v:fill opacity=".5"/>
          <v:textpath style="font-family:&quot;Calibri&quot;;font-size:1pt" string="DRAFT"/>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A3742082"/>
    <w:lvl w:ilvl="0" w:tplc="6A84B90C">
      <w:start w:val="1"/>
      <w:numFmt w:val="decimal"/>
      <w:lvlText w:val="%1."/>
      <w:lvlJc w:val="left"/>
      <w:pPr>
        <w:ind w:left="720" w:hanging="360"/>
      </w:pPr>
      <w:rPr>
        <w:rFonts w:hint="default" w:ascii="Calibri" w:hAnsi="Calibri"/>
      </w:rPr>
    </w:lvl>
    <w:lvl w:ilvl="1" w:tplc="786C5E6E">
      <w:start w:val="1"/>
      <w:numFmt w:val="lowerLetter"/>
      <w:lvlText w:val="%2."/>
      <w:lvlJc w:val="left"/>
      <w:pPr>
        <w:ind w:left="1440" w:hanging="360"/>
      </w:pPr>
    </w:lvl>
    <w:lvl w:ilvl="2" w:tplc="0A20E262">
      <w:start w:val="1"/>
      <w:numFmt w:val="lowerRoman"/>
      <w:lvlText w:val="%3."/>
      <w:lvlJc w:val="right"/>
      <w:pPr>
        <w:ind w:left="2160" w:hanging="180"/>
      </w:pPr>
    </w:lvl>
    <w:lvl w:ilvl="3" w:tplc="7E4EFBA2">
      <w:start w:val="1"/>
      <w:numFmt w:val="decimal"/>
      <w:lvlText w:val="%4."/>
      <w:lvlJc w:val="left"/>
      <w:pPr>
        <w:ind w:left="2880" w:hanging="360"/>
      </w:pPr>
    </w:lvl>
    <w:lvl w:ilvl="4" w:tplc="1B5CDD42">
      <w:start w:val="1"/>
      <w:numFmt w:val="lowerLetter"/>
      <w:lvlText w:val="%5."/>
      <w:lvlJc w:val="left"/>
      <w:pPr>
        <w:ind w:left="3600" w:hanging="360"/>
      </w:pPr>
    </w:lvl>
    <w:lvl w:ilvl="5" w:tplc="E68ADFCE">
      <w:start w:val="1"/>
      <w:numFmt w:val="lowerRoman"/>
      <w:lvlText w:val="%6."/>
      <w:lvlJc w:val="right"/>
      <w:pPr>
        <w:ind w:left="4320" w:hanging="180"/>
      </w:pPr>
    </w:lvl>
    <w:lvl w:ilvl="6" w:tplc="87323454">
      <w:start w:val="1"/>
      <w:numFmt w:val="decimal"/>
      <w:lvlText w:val="%7."/>
      <w:lvlJc w:val="left"/>
      <w:pPr>
        <w:ind w:left="5040" w:hanging="360"/>
      </w:pPr>
    </w:lvl>
    <w:lvl w:ilvl="7" w:tplc="0380C34A">
      <w:start w:val="1"/>
      <w:numFmt w:val="lowerLetter"/>
      <w:lvlText w:val="%8."/>
      <w:lvlJc w:val="left"/>
      <w:pPr>
        <w:ind w:left="5760" w:hanging="360"/>
      </w:pPr>
    </w:lvl>
    <w:lvl w:ilvl="8" w:tplc="73D4286E">
      <w:start w:val="1"/>
      <w:numFmt w:val="lowerRoman"/>
      <w:lvlText w:val="%9."/>
      <w:lvlJc w:val="right"/>
      <w:pPr>
        <w:ind w:left="6480" w:hanging="180"/>
      </w:pPr>
    </w:lvl>
  </w:abstractNum>
  <w:num w:numId="1" w16cid:durableId="144665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D73E3"/>
    <w:rsid w:val="008F3023"/>
    <w:rsid w:val="009246C1"/>
    <w:rsid w:val="0093780E"/>
    <w:rsid w:val="00962F58"/>
    <w:rsid w:val="009771CF"/>
    <w:rsid w:val="0098614A"/>
    <w:rsid w:val="009918AC"/>
    <w:rsid w:val="009B5DDF"/>
    <w:rsid w:val="009D418E"/>
    <w:rsid w:val="009F13F5"/>
    <w:rsid w:val="009F65D6"/>
    <w:rsid w:val="00A00964"/>
    <w:rsid w:val="00A03561"/>
    <w:rsid w:val="00AA0DBE"/>
    <w:rsid w:val="00AE1F5B"/>
    <w:rsid w:val="00AE4E90"/>
    <w:rsid w:val="00B25C59"/>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238F8"/>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623B76C"/>
    <w:rsid w:val="1769E056"/>
    <w:rsid w:val="180D5666"/>
    <w:rsid w:val="18D0114C"/>
    <w:rsid w:val="19ADC00D"/>
    <w:rsid w:val="1A9CC44C"/>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2BC50B"/>
    <w:rsid w:val="4B726467"/>
    <w:rsid w:val="4C61410F"/>
    <w:rsid w:val="4D57C70F"/>
    <w:rsid w:val="5146AFD7"/>
    <w:rsid w:val="5307C4CD"/>
    <w:rsid w:val="53DD9384"/>
    <w:rsid w:val="54682901"/>
    <w:rsid w:val="55E62D89"/>
    <w:rsid w:val="581F4F9A"/>
    <w:rsid w:val="5E298C0B"/>
    <w:rsid w:val="5F204D53"/>
    <w:rsid w:val="5F646BA3"/>
    <w:rsid w:val="609D7CC4"/>
    <w:rsid w:val="62A90B6E"/>
    <w:rsid w:val="64D13D05"/>
    <w:rsid w:val="6BDB731B"/>
    <w:rsid w:val="6DD3E9E8"/>
    <w:rsid w:val="71E3BFDE"/>
    <w:rsid w:val="73BF76C2"/>
    <w:rsid w:val="7561FD7E"/>
    <w:rsid w:val="760BF264"/>
    <w:rsid w:val="77268FC7"/>
    <w:rsid w:val="786FD32C"/>
    <w:rsid w:val="78C0E67B"/>
    <w:rsid w:val="79E47A3D"/>
    <w:rsid w:val="7A4C75DA"/>
    <w:rsid w:val="7B204EF5"/>
    <w:rsid w:val="7BC3B34E"/>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16" ma:contentTypeDescription="Create a new document." ma:contentTypeScope="" ma:versionID="23b7b04e8407bde36e17f9314d30e079">
  <xsd:schema xmlns:xsd="http://www.w3.org/2001/XMLSchema" xmlns:xs="http://www.w3.org/2001/XMLSchema" xmlns:p="http://schemas.microsoft.com/office/2006/metadata/properties" xmlns:ns2="1acb9adc-ec33-475f-8130-c1c307b91901" xmlns:ns3="12292255-f18b-4d92-9e60-ebc7b63bbd6b" targetNamespace="http://schemas.microsoft.com/office/2006/metadata/properties" ma:root="true" ma:fieldsID="4e29a7c4c17243f6872a4a50572baf86" ns2:_="" ns3:_="">
    <xsd:import namespace="1acb9adc-ec33-475f-8130-c1c307b91901"/>
    <xsd:import namespace="12292255-f18b-4d92-9e60-ebc7b63bb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abad1b-d29f-4535-a4fd-e790a0fa6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92255-f18b-4d92-9e60-ebc7b63bb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b1fe82-0789-4bbc-94a6-407bd51118ce}" ma:internalName="TaxCatchAll" ma:showField="CatchAllData" ma:web="12292255-f18b-4d92-9e60-ebc7b63bb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cb9adc-ec33-475f-8130-c1c307b91901">
      <Terms xmlns="http://schemas.microsoft.com/office/infopath/2007/PartnerControls"/>
    </lcf76f155ced4ddcb4097134ff3c332f>
    <TaxCatchAll xmlns="12292255-f18b-4d92-9e60-ebc7b63bbd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B25B7-4947-42DA-B0FB-665D3AFB1D82}"/>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Ghiat, Mehdi</dc:creator>
  <keywords/>
  <dc:description/>
  <lastModifiedBy>Coyne, Claire</lastModifiedBy>
  <revision>3</revision>
  <dcterms:created xsi:type="dcterms:W3CDTF">2026-03-19T18:49:00.0000000Z</dcterms:created>
  <dcterms:modified xsi:type="dcterms:W3CDTF">2026-03-19T18:51:18.0228952Z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y fmtid="{D5CDD505-2E9C-101B-9397-08002B2CF9AE}" pid="3" name="MediaServiceImageTags">
    <vt:lpwstr/>
  </property>
</Properties>
</file>