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7F6A" w:rsidP="009E7F6A" w:rsidRDefault="00993155" w14:paraId="71DD61FD" w14:textId="3854107E">
      <w:pPr>
        <w:textAlignment w:val="baseline"/>
        <w:rPr>
          <w:rFonts w:ascii="Aptos" w:hAnsi="Aptos" w:eastAsia="Times New Roman" w:cs="Times New Roman"/>
          <w:b w:val="1"/>
          <w:bCs w:val="1"/>
          <w:color w:val="C00000"/>
          <w:sz w:val="28"/>
          <w:szCs w:val="28"/>
        </w:rPr>
      </w:pPr>
      <w:r w:rsidRPr="1B7C10F5" w:rsidR="00993155">
        <w:rPr>
          <w:rFonts w:ascii="Aptos" w:hAnsi="Aptos" w:eastAsia="Times New Roman" w:cs="Times New Roman"/>
          <w:b w:val="1"/>
          <w:bCs w:val="1"/>
          <w:color w:val="C00000"/>
          <w:sz w:val="28"/>
          <w:szCs w:val="28"/>
        </w:rPr>
        <w:t xml:space="preserve">Resolution </w:t>
      </w:r>
      <w:r w:rsidRPr="1B7C10F5" w:rsidR="009E7F6A">
        <w:rPr>
          <w:rFonts w:ascii="Aptos" w:hAnsi="Aptos" w:eastAsia="Times New Roman" w:cs="Times New Roman"/>
          <w:b w:val="1"/>
          <w:bCs w:val="1"/>
          <w:color w:val="C00000"/>
          <w:sz w:val="28"/>
          <w:szCs w:val="28"/>
        </w:rPr>
        <w:t>S2026.01</w:t>
      </w:r>
    </w:p>
    <w:p w:rsidR="009E7F6A" w:rsidP="009E7F6A" w:rsidRDefault="009E7F6A" w14:paraId="5243406E" w14:textId="55051A86">
      <w:pPr>
        <w:textAlignment w:val="baseline"/>
        <w:rPr>
          <w:rFonts w:ascii="Aptos" w:hAnsi="Aptos" w:eastAsia="Times New Roman" w:cs="Times New Roman"/>
          <w:b/>
          <w:bCs/>
          <w:color w:val="C00000"/>
          <w:sz w:val="28"/>
          <w:szCs w:val="28"/>
        </w:rPr>
      </w:pPr>
      <w:r>
        <w:rPr>
          <w:rFonts w:ascii="Aptos" w:hAnsi="Aptos" w:eastAsia="Times New Roman" w:cs="Times New Roman"/>
          <w:b/>
          <w:bCs/>
          <w:color w:val="C00000"/>
          <w:sz w:val="28"/>
          <w:szCs w:val="28"/>
        </w:rPr>
        <w:t>P</w:t>
      </w:r>
      <w:r w:rsidRPr="009E7F6A">
        <w:rPr>
          <w:rFonts w:ascii="Aptos" w:hAnsi="Aptos" w:eastAsia="Times New Roman" w:cs="Times New Roman"/>
          <w:b/>
          <w:bCs/>
          <w:color w:val="C00000"/>
          <w:sz w:val="28"/>
          <w:szCs w:val="28"/>
        </w:rPr>
        <w:t xml:space="preserve">reserving Faculty Academic Recommendation and Shared Governance in the Tenure Review Process  </w:t>
      </w:r>
    </w:p>
    <w:p w:rsidRPr="00993155" w:rsidR="00993155" w:rsidP="00993155" w:rsidRDefault="00993155" w14:paraId="3BBEAB04" w14:textId="78759788">
      <w:pPr>
        <w:spacing w:before="100" w:beforeAutospacing="1" w:after="100" w:afterAutospacing="1"/>
        <w:rPr>
          <w:rFonts w:ascii="Aptos" w:hAnsi="Aptos" w:eastAsia="Times New Roman" w:cs="Times New Roman"/>
          <w:b/>
          <w:bCs/>
          <w:color w:val="EE0000"/>
          <w:sz w:val="28"/>
          <w:szCs w:val="28"/>
        </w:rPr>
      </w:pPr>
      <w:r w:rsidRPr="00B64861">
        <w:rPr>
          <w:rFonts w:ascii="Aptos" w:hAnsi="Aptos" w:eastAsia="Times New Roman" w:cs="Times New Roman"/>
          <w:b/>
          <w:bCs/>
        </w:rPr>
        <w:t>Moved by:</w:t>
      </w:r>
      <w:r w:rsidRPr="00B64861">
        <w:rPr>
          <w:rFonts w:ascii="Aptos" w:hAnsi="Aptos" w:eastAsia="Times New Roman" w:cs="Times New Roman"/>
        </w:rPr>
        <w:br/>
      </w:r>
      <w:r w:rsidRPr="00B64861">
        <w:rPr>
          <w:rFonts w:ascii="Aptos" w:hAnsi="Aptos" w:eastAsia="Times New Roman" w:cs="Times New Roman"/>
          <w:b/>
          <w:bCs/>
        </w:rPr>
        <w:t>Seconded:</w:t>
      </w:r>
    </w:p>
    <w:p w:rsidR="009E7F6A" w:rsidP="009E7F6A" w:rsidRDefault="009E7F6A" w14:paraId="202939DF" w14:textId="77777777">
      <w:pPr>
        <w:rPr>
          <w:rFonts w:ascii="Aptos" w:hAnsi="Aptos" w:eastAsia="Times New Roman" w:cs="Segoe UI"/>
          <w:color w:val="000000"/>
          <w:bdr w:val="none" w:color="auto" w:sz="0" w:space="0" w:frame="1"/>
        </w:rPr>
      </w:pPr>
      <w:r w:rsidRPr="009E7F6A">
        <w:rPr>
          <w:rFonts w:ascii="Aptos" w:hAnsi="Aptos" w:eastAsia="Times New Roman" w:cs="Segoe UI"/>
          <w:color w:val="000000"/>
          <w:bdr w:val="none" w:color="auto" w:sz="0" w:space="0" w:frame="1"/>
        </w:rPr>
        <w:t xml:space="preserve">WHEREAS, pursuant to Education Code §87608-§87609, final decisions regarding faculty on the tenure track entering into a contract or granting of tenure are made by the Board of Trustees, and pursuant to Education Code §70902(b)(7) and Title 5 §53200, the Academic Senate holds primary responsibility for academic and professional matters (the 10+1), including faculty roles in peer evaluation and tenure review and  </w:t>
      </w:r>
    </w:p>
    <w:p w:rsidRPr="009E7F6A" w:rsidR="009E7F6A" w:rsidP="009E7F6A" w:rsidRDefault="009E7F6A" w14:paraId="084B1910" w14:textId="77777777">
      <w:pPr>
        <w:rPr>
          <w:rFonts w:ascii="Aptos" w:hAnsi="Aptos" w:eastAsia="Times New Roman" w:cs="Segoe UI"/>
          <w:color w:val="000000"/>
          <w:bdr w:val="none" w:color="auto" w:sz="0" w:space="0" w:frame="1"/>
        </w:rPr>
      </w:pPr>
    </w:p>
    <w:p w:rsidR="009E7F6A" w:rsidP="009E7F6A" w:rsidRDefault="009E7F6A" w14:paraId="689DDE33" w14:textId="77777777">
      <w:pPr>
        <w:rPr>
          <w:rFonts w:ascii="Aptos" w:hAnsi="Aptos" w:eastAsia="Times New Roman" w:cs="Segoe UI"/>
          <w:color w:val="000000"/>
          <w:bdr w:val="none" w:color="auto" w:sz="0" w:space="0" w:frame="1"/>
        </w:rPr>
      </w:pPr>
      <w:r w:rsidRPr="009E7F6A">
        <w:rPr>
          <w:rFonts w:ascii="Aptos" w:hAnsi="Aptos" w:eastAsia="Times New Roman" w:cs="Segoe UI"/>
          <w:color w:val="000000"/>
          <w:bdr w:val="none" w:color="auto" w:sz="0" w:space="0" w:frame="1"/>
        </w:rPr>
        <w:t xml:space="preserve">WHEREAS, the Probationary Tenure Review Committee (PTRC) recommendations are based on faculty academic and professional judgment using faculty-developed standards &amp; criteria, providing the Board of Trustees with its primary source of discipline-specific content and student services expertise in peer evaluation and tenure review recommendations; and   </w:t>
      </w:r>
    </w:p>
    <w:p w:rsidRPr="009E7F6A" w:rsidR="009E7F6A" w:rsidP="009E7F6A" w:rsidRDefault="009E7F6A" w14:paraId="495F36ED" w14:textId="77777777">
      <w:pPr>
        <w:rPr>
          <w:rFonts w:ascii="Aptos" w:hAnsi="Aptos" w:eastAsia="Times New Roman" w:cs="Segoe UI"/>
          <w:color w:val="000000"/>
          <w:bdr w:val="none" w:color="auto" w:sz="0" w:space="0" w:frame="1"/>
        </w:rPr>
      </w:pPr>
    </w:p>
    <w:p w:rsidR="009E7F6A" w:rsidP="009E7F6A" w:rsidRDefault="009E7F6A" w14:paraId="0B624198" w14:textId="77777777">
      <w:pPr>
        <w:rPr>
          <w:rFonts w:ascii="Aptos" w:hAnsi="Aptos" w:eastAsia="Times New Roman" w:cs="Segoe UI"/>
          <w:color w:val="000000"/>
          <w:bdr w:val="none" w:color="auto" w:sz="0" w:space="0" w:frame="1"/>
        </w:rPr>
      </w:pPr>
      <w:r w:rsidRPr="009E7F6A">
        <w:rPr>
          <w:rFonts w:ascii="Aptos" w:hAnsi="Aptos" w:eastAsia="Times New Roman" w:cs="Segoe UI"/>
          <w:color w:val="000000"/>
          <w:bdr w:val="none" w:color="auto" w:sz="0" w:space="0" w:frame="1"/>
        </w:rPr>
        <w:t xml:space="preserve">WHEREAS,  Probationary Tenure Review Committee recommendations reflect the informed discipline-specific and student services  faculty expertise in  evaluating instructional effectiveness, student support services, and other student-facing responsibilities, and lack of clarity regarding the sharing of evaluation recommendation forms with the Board of Trustees may affect the Board’s full understanding of the evaluation record and its impact on academic quality, student support, and student learning and success;  </w:t>
      </w:r>
    </w:p>
    <w:p w:rsidRPr="009E7F6A" w:rsidR="009E7F6A" w:rsidP="009E7F6A" w:rsidRDefault="009E7F6A" w14:paraId="582D6F02" w14:textId="77777777">
      <w:pPr>
        <w:rPr>
          <w:rFonts w:ascii="Aptos" w:hAnsi="Aptos" w:eastAsia="Times New Roman" w:cs="Segoe UI"/>
          <w:color w:val="000000"/>
          <w:bdr w:val="none" w:color="auto" w:sz="0" w:space="0" w:frame="1"/>
        </w:rPr>
      </w:pPr>
    </w:p>
    <w:p w:rsidR="009E7F6A" w:rsidP="009E7F6A" w:rsidRDefault="009E7F6A" w14:paraId="537B0962" w14:textId="77777777">
      <w:pPr>
        <w:rPr>
          <w:rFonts w:ascii="Aptos" w:hAnsi="Aptos" w:eastAsia="Times New Roman" w:cs="Segoe UI"/>
          <w:color w:val="000000"/>
          <w:bdr w:val="none" w:color="auto" w:sz="0" w:space="0" w:frame="1"/>
        </w:rPr>
      </w:pPr>
      <w:proofErr w:type="gramStart"/>
      <w:r w:rsidRPr="009E7F6A">
        <w:rPr>
          <w:rFonts w:ascii="Aptos" w:hAnsi="Aptos" w:eastAsia="Times New Roman" w:cs="Segoe UI"/>
          <w:color w:val="000000"/>
          <w:bdr w:val="none" w:color="auto" w:sz="0" w:space="0" w:frame="1"/>
        </w:rPr>
        <w:t>WHEREAS,</w:t>
      </w:r>
      <w:proofErr w:type="gramEnd"/>
      <w:r w:rsidRPr="009E7F6A">
        <w:rPr>
          <w:rFonts w:ascii="Aptos" w:hAnsi="Aptos" w:eastAsia="Times New Roman" w:cs="Segoe UI"/>
          <w:color w:val="000000"/>
          <w:bdr w:val="none" w:color="auto" w:sz="0" w:space="0" w:frame="1"/>
        </w:rPr>
        <w:t xml:space="preserve"> lack of transparency when administrative recommendations to the Board of Trustees differ from Probationary Tenure Review Committee recommendations, regardless of outcome, can undermine shared governance, faculty trust, and confidence in the peer evaluation &amp; tenure review </w:t>
      </w:r>
      <w:proofErr w:type="gramStart"/>
      <w:r w:rsidRPr="009E7F6A">
        <w:rPr>
          <w:rFonts w:ascii="Aptos" w:hAnsi="Aptos" w:eastAsia="Times New Roman" w:cs="Segoe UI"/>
          <w:color w:val="000000"/>
          <w:bdr w:val="none" w:color="auto" w:sz="0" w:space="0" w:frame="1"/>
        </w:rPr>
        <w:t>process;</w:t>
      </w:r>
      <w:proofErr w:type="gramEnd"/>
      <w:r w:rsidRPr="009E7F6A">
        <w:rPr>
          <w:rFonts w:ascii="Aptos" w:hAnsi="Aptos" w:eastAsia="Times New Roman" w:cs="Segoe UI"/>
          <w:color w:val="000000"/>
          <w:bdr w:val="none" w:color="auto" w:sz="0" w:space="0" w:frame="1"/>
        </w:rPr>
        <w:t xml:space="preserve">  </w:t>
      </w:r>
    </w:p>
    <w:p w:rsidRPr="009E7F6A" w:rsidR="009E7F6A" w:rsidP="009E7F6A" w:rsidRDefault="009E7F6A" w14:paraId="7B6B92FD" w14:textId="77777777">
      <w:pPr>
        <w:rPr>
          <w:rFonts w:ascii="Aptos" w:hAnsi="Aptos" w:eastAsia="Times New Roman" w:cs="Segoe UI"/>
          <w:color w:val="000000"/>
          <w:bdr w:val="none" w:color="auto" w:sz="0" w:space="0" w:frame="1"/>
        </w:rPr>
      </w:pPr>
    </w:p>
    <w:p w:rsidR="009E7F6A" w:rsidP="009E7F6A" w:rsidRDefault="009E7F6A" w14:paraId="3223D20A" w14:textId="77777777">
      <w:pPr>
        <w:rPr>
          <w:rFonts w:ascii="Aptos" w:hAnsi="Aptos" w:eastAsia="Times New Roman" w:cs="Segoe UI"/>
          <w:color w:val="000000"/>
          <w:bdr w:val="none" w:color="auto" w:sz="0" w:space="0" w:frame="1"/>
        </w:rPr>
      </w:pPr>
      <w:r w:rsidRPr="009E7F6A">
        <w:rPr>
          <w:rFonts w:ascii="Aptos" w:hAnsi="Aptos" w:eastAsia="Times New Roman" w:cs="Segoe UI"/>
          <w:color w:val="000000"/>
          <w:bdr w:val="none" w:color="auto" w:sz="0" w:space="0" w:frame="1"/>
        </w:rPr>
        <w:t xml:space="preserve">RESOLVED, that the Academic Senate affirms that faculty academic expert judgement &amp; recommendation, as exercised through the Probationary Tenure Review Committee, should form the foundation of peer evaluation &amp; tenure review </w:t>
      </w:r>
      <w:proofErr w:type="gramStart"/>
      <w:r w:rsidRPr="009E7F6A">
        <w:rPr>
          <w:rFonts w:ascii="Aptos" w:hAnsi="Aptos" w:eastAsia="Times New Roman" w:cs="Segoe UI"/>
          <w:color w:val="000000"/>
          <w:bdr w:val="none" w:color="auto" w:sz="0" w:space="0" w:frame="1"/>
        </w:rPr>
        <w:t>decisions;</w:t>
      </w:r>
      <w:proofErr w:type="gramEnd"/>
      <w:r w:rsidRPr="009E7F6A">
        <w:rPr>
          <w:rFonts w:ascii="Aptos" w:hAnsi="Aptos" w:eastAsia="Times New Roman" w:cs="Segoe UI"/>
          <w:color w:val="000000"/>
          <w:bdr w:val="none" w:color="auto" w:sz="0" w:space="0" w:frame="1"/>
        </w:rPr>
        <w:t xml:space="preserve">  </w:t>
      </w:r>
    </w:p>
    <w:p w:rsidRPr="009E7F6A" w:rsidR="009E7F6A" w:rsidP="009E7F6A" w:rsidRDefault="009E7F6A" w14:paraId="4BEAA9F0" w14:textId="77777777">
      <w:pPr>
        <w:rPr>
          <w:rFonts w:ascii="Aptos" w:hAnsi="Aptos" w:eastAsia="Times New Roman" w:cs="Segoe UI"/>
          <w:color w:val="000000"/>
          <w:bdr w:val="none" w:color="auto" w:sz="0" w:space="0" w:frame="1"/>
        </w:rPr>
      </w:pPr>
    </w:p>
    <w:p w:rsidRPr="009E7F6A" w:rsidR="009E7F6A" w:rsidP="009E7F6A" w:rsidRDefault="009E7F6A" w14:paraId="233D9084" w14:textId="77777777">
      <w:pPr>
        <w:rPr>
          <w:rFonts w:ascii="Aptos" w:hAnsi="Aptos" w:eastAsia="Times New Roman" w:cs="Segoe UI"/>
          <w:color w:val="000000"/>
          <w:bdr w:val="none" w:color="auto" w:sz="0" w:space="0" w:frame="1"/>
        </w:rPr>
      </w:pPr>
      <w:r w:rsidRPr="009E7F6A">
        <w:rPr>
          <w:rFonts w:ascii="Aptos" w:hAnsi="Aptos" w:eastAsia="Times New Roman" w:cs="Segoe UI"/>
          <w:color w:val="000000"/>
          <w:bdr w:val="none" w:color="auto" w:sz="0" w:space="0" w:frame="1"/>
        </w:rPr>
        <w:t xml:space="preserve">RESOLVED, that in instances where an administrative recommendation to the Board of Trustees differs from the Probationary Tenure Review Committee’s recommendation, and consistent with Education Code and §§ 87607–87609, the Board should receive and consider the statements of the most recent evaluations (Contract Probationary Tenure Review Packet) and the PTRC’s recommendations prior to making a final determination regarding continued employment or the granting of tenure; and </w:t>
      </w:r>
    </w:p>
    <w:p w:rsidR="009E7F6A" w:rsidP="009E7F6A" w:rsidRDefault="009E7F6A" w14:paraId="2E5FFEDC" w14:textId="77777777">
      <w:pPr>
        <w:rPr>
          <w:rFonts w:ascii="Aptos" w:hAnsi="Aptos" w:eastAsia="Times New Roman" w:cs="Segoe UI"/>
          <w:color w:val="000000"/>
          <w:bdr w:val="none" w:color="auto" w:sz="0" w:space="0" w:frame="1"/>
        </w:rPr>
      </w:pPr>
    </w:p>
    <w:p w:rsidR="009E7F6A" w:rsidP="009E7F6A" w:rsidRDefault="009E7F6A" w14:paraId="0BDDEB5A" w14:textId="0486470A">
      <w:pPr>
        <w:rPr>
          <w:rFonts w:ascii="Aptos" w:hAnsi="Aptos" w:eastAsia="Times New Roman" w:cs="Segoe UI"/>
          <w:color w:val="000000"/>
          <w:bdr w:val="none" w:color="auto" w:sz="0" w:space="0" w:frame="1"/>
        </w:rPr>
      </w:pPr>
      <w:r w:rsidRPr="009E7F6A">
        <w:rPr>
          <w:rFonts w:ascii="Aptos" w:hAnsi="Aptos" w:eastAsia="Times New Roman" w:cs="Segoe UI"/>
          <w:color w:val="000000"/>
          <w:bdr w:val="none" w:color="auto" w:sz="0" w:space="0" w:frame="1"/>
        </w:rPr>
        <w:lastRenderedPageBreak/>
        <w:t xml:space="preserve">RESOLVED, that when such differing recommendations occur, the differences should be clearly and accurately reflected in materials presented to the Board of Trustees as it exercises its final authority; and </w:t>
      </w:r>
    </w:p>
    <w:p w:rsidRPr="009E7F6A" w:rsidR="009E7F6A" w:rsidP="009E7F6A" w:rsidRDefault="009E7F6A" w14:paraId="0F71DFC5" w14:textId="77777777">
      <w:pPr>
        <w:rPr>
          <w:rFonts w:ascii="Aptos" w:hAnsi="Aptos" w:eastAsia="Times New Roman" w:cs="Segoe UI"/>
          <w:color w:val="000000"/>
          <w:bdr w:val="none" w:color="auto" w:sz="0" w:space="0" w:frame="1"/>
        </w:rPr>
      </w:pPr>
    </w:p>
    <w:p w:rsidRPr="009E7F6A" w:rsidR="009E7F6A" w:rsidP="009E7F6A" w:rsidRDefault="009E7F6A" w14:paraId="5B9A958A" w14:textId="77777777">
      <w:pPr>
        <w:rPr>
          <w:rFonts w:ascii="Aptos" w:hAnsi="Aptos" w:eastAsia="Times New Roman" w:cs="Segoe UI"/>
          <w:color w:val="000000"/>
          <w:bdr w:val="none" w:color="auto" w:sz="0" w:space="0" w:frame="1"/>
        </w:rPr>
      </w:pPr>
      <w:r w:rsidRPr="009E7F6A">
        <w:rPr>
          <w:rFonts w:ascii="Aptos" w:hAnsi="Aptos" w:eastAsia="Times New Roman" w:cs="Segoe UI"/>
          <w:color w:val="000000"/>
          <w:bdr w:val="none" w:color="auto" w:sz="0" w:space="0" w:frame="1"/>
        </w:rPr>
        <w:t>RESOLVED, that consistent with Education Code § 70902(b)(7) and Title 5 § 53200, the Academic Senate affirms its role in consultation, through existing shared governance processes, regarding the development or refinement of policies or communication practices regarding tenure review recommendations to the Board. </w:t>
      </w:r>
    </w:p>
    <w:p w:rsidRPr="009E7F6A" w:rsidR="009E7F6A" w:rsidP="009E7F6A" w:rsidRDefault="009E7F6A" w14:paraId="5467B1AA" w14:textId="77777777">
      <w:pPr>
        <w:rPr>
          <w:rFonts w:ascii="Aptos" w:hAnsi="Aptos" w:eastAsia="Times New Roman" w:cs="Segoe UI"/>
          <w:color w:val="000000"/>
          <w:bdr w:val="none" w:color="auto" w:sz="0" w:space="0" w:frame="1"/>
        </w:rPr>
      </w:pPr>
    </w:p>
    <w:p w:rsidRPr="0070689D" w:rsidR="00993155" w:rsidP="54682901" w:rsidRDefault="00993155" w14:paraId="411A412D" w14:textId="7AAE211B">
      <w:pPr>
        <w:rPr>
          <w:rFonts w:ascii="Aptos" w:hAnsi="Aptos" w:eastAsia="Aptos" w:cs="Aptos"/>
          <w:color w:val="C00000"/>
          <w:sz w:val="28"/>
          <w:szCs w:val="28"/>
        </w:rPr>
      </w:pPr>
    </w:p>
    <w:p w:rsidR="0070689D" w:rsidP="0070689D" w:rsidRDefault="00993155" w14:paraId="1B89B22C" w14:textId="77777777">
      <w:pPr>
        <w:spacing w:before="100" w:beforeAutospacing="1" w:after="100" w:afterAutospacing="1"/>
        <w:rPr>
          <w:rFonts w:ascii="Aptos" w:hAnsi="Aptos" w:eastAsia="Times New Roman" w:cs="Times New Roman"/>
        </w:rPr>
      </w:pPr>
      <w:r>
        <w:rPr>
          <w:rFonts w:ascii="Aptos" w:hAnsi="Aptos" w:eastAsia="Times New Roman" w:cs="Times New Roman"/>
        </w:rPr>
        <w:t>Date Presented:</w:t>
      </w:r>
    </w:p>
    <w:p w:rsidR="00993155" w:rsidP="0070689D" w:rsidRDefault="00993155" w14:paraId="5F59787C" w14:textId="5546E345">
      <w:pPr>
        <w:spacing w:before="100" w:beforeAutospacing="1" w:after="100" w:afterAutospacing="1"/>
        <w:rPr>
          <w:rFonts w:ascii="Aptos" w:hAnsi="Aptos" w:eastAsia="Aptos" w:cs="Aptos"/>
          <w:b/>
          <w:bCs/>
          <w:color w:val="C00000"/>
          <w:sz w:val="28"/>
          <w:szCs w:val="28"/>
        </w:rPr>
      </w:pPr>
      <w:r>
        <w:rPr>
          <w:rFonts w:ascii="Aptos" w:hAnsi="Aptos" w:eastAsia="Times New Roman" w:cs="Times New Roman"/>
        </w:rPr>
        <w:t>Date Passed:</w:t>
      </w:r>
    </w:p>
    <w:sectPr w:rsidR="00993155" w:rsidSect="00CC3B61">
      <w:headerReference w:type="even" r:id="rId10"/>
      <w:headerReference w:type="default" r:id="rId11"/>
      <w:footerReference w:type="even" r:id="rId12"/>
      <w:footerReference w:type="default" r:id="rId13"/>
      <w:headerReference w:type="first" r:id="rId14"/>
      <w:footerReference w:type="first" r:id="rId15"/>
      <w:pgSz w:w="12240" w:h="15840" w:orient="portrait"/>
      <w:pgMar w:top="1440" w:right="1440" w:bottom="1440" w:left="144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170A" w:rsidP="00541729" w:rsidRDefault="00E3170A" w14:paraId="383F69FB" w14:textId="77777777">
      <w:r>
        <w:separator/>
      </w:r>
    </w:p>
  </w:endnote>
  <w:endnote w:type="continuationSeparator" w:id="0">
    <w:p w:rsidR="00E3170A" w:rsidP="00541729" w:rsidRDefault="00E3170A" w14:paraId="489843A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Neutraface Text Demi">
    <w:altName w:val="Calibri"/>
    <w:panose1 w:val="00000000000000000000"/>
    <w:charset w:val="4D"/>
    <w:family w:val="auto"/>
    <w:notTrueType/>
    <w:pitch w:val="variable"/>
    <w:sig w:usb0="800000AF" w:usb1="5000204A" w:usb2="00000000" w:usb3="00000000" w:csb0="0000009B" w:csb1="00000000"/>
  </w:font>
  <w:font w:name="Neutraface Text Book">
    <w:altName w:val="Calibri"/>
    <w:panose1 w:val="00000000000000000000"/>
    <w:charset w:val="4D"/>
    <w:family w:val="auto"/>
    <w:notTrueType/>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080" w:rsidRDefault="00511080" w14:paraId="739B859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567DF" w:rsidR="00815279" w:rsidP="008567DF" w:rsidRDefault="3EDFCB7D" w14:paraId="4F6D7C55" w14:textId="43BD52A4">
    <w:pPr>
      <w:pStyle w:val="Footer"/>
      <w:jc w:val="center"/>
      <w:rPr>
        <w:rFonts w:ascii="Neutraface Text Book" w:hAnsi="Neutraface Text Book"/>
        <w:sz w:val="18"/>
        <w:szCs w:val="18"/>
      </w:rPr>
    </w:pPr>
    <w:r w:rsidRPr="3EDFCB7D">
      <w:rPr>
        <w:rFonts w:ascii="Neutraface Text Demi" w:hAnsi="Neutraface Text Demi"/>
        <w:b/>
        <w:bCs/>
        <w:sz w:val="18"/>
        <w:szCs w:val="18"/>
      </w:rPr>
      <w:t>President,</w:t>
    </w:r>
    <w:r w:rsidRPr="3EDFCB7D">
      <w:rPr>
        <w:rFonts w:ascii="Neutraface Text Book" w:hAnsi="Neutraface Text Book"/>
        <w:sz w:val="18"/>
        <w:szCs w:val="18"/>
      </w:rPr>
      <w:t xml:space="preserve"> Claire M. Coyne  •  </w:t>
    </w:r>
    <w:r w:rsidRPr="3EDFCB7D">
      <w:rPr>
        <w:rFonts w:ascii="Neutraface Text Demi" w:hAnsi="Neutraface Text Demi"/>
        <w:b/>
        <w:bCs/>
        <w:sz w:val="18"/>
        <w:szCs w:val="18"/>
      </w:rPr>
      <w:t>Vice President, Culture &amp; Engagement</w:t>
    </w:r>
    <w:r w:rsidRPr="3EDFCB7D">
      <w:rPr>
        <w:rFonts w:ascii="Neutraface Text Book" w:hAnsi="Neutraface Text Book"/>
        <w:sz w:val="18"/>
        <w:szCs w:val="18"/>
      </w:rPr>
      <w:t>, Maria Aguilar Beltran</w:t>
    </w:r>
  </w:p>
  <w:p w:rsidR="3EDFCB7D" w:rsidP="3EDFCB7D" w:rsidRDefault="3EDFCB7D" w14:paraId="366D3018" w14:textId="746A6901">
    <w:pPr>
      <w:pStyle w:val="Footer"/>
      <w:spacing w:line="259" w:lineRule="auto"/>
      <w:jc w:val="center"/>
      <w:rPr>
        <w:rFonts w:ascii="Neutraface Text Book" w:hAnsi="Neutraface Text Book"/>
        <w:sz w:val="18"/>
        <w:szCs w:val="18"/>
      </w:rPr>
    </w:pPr>
    <w:r w:rsidRPr="3EDFCB7D">
      <w:rPr>
        <w:rFonts w:ascii="Neutraface Text Demi" w:hAnsi="Neutraface Text Demi"/>
        <w:b/>
        <w:bCs/>
        <w:sz w:val="18"/>
        <w:szCs w:val="18"/>
      </w:rPr>
      <w:t>Vice President, Community Operations</w:t>
    </w:r>
    <w:r w:rsidRPr="3EDFCB7D">
      <w:rPr>
        <w:rFonts w:ascii="Neutraface Text Book" w:hAnsi="Neutraface Text Book"/>
        <w:sz w:val="18"/>
        <w:szCs w:val="18"/>
      </w:rPr>
      <w:t xml:space="preserve">, Merari Weber • </w:t>
    </w:r>
    <w:r w:rsidRPr="3EDFCB7D">
      <w:rPr>
        <w:rFonts w:ascii="Neutraface Text Demi" w:hAnsi="Neutraface Text Demi"/>
        <w:b/>
        <w:bCs/>
        <w:sz w:val="18"/>
        <w:szCs w:val="18"/>
      </w:rPr>
      <w:t>Historian,</w:t>
    </w:r>
    <w:r w:rsidRPr="3EDFCB7D">
      <w:rPr>
        <w:rFonts w:ascii="Neutraface Text Book" w:hAnsi="Neutraface Text Book"/>
        <w:sz w:val="18"/>
        <w:szCs w:val="18"/>
      </w:rPr>
      <w:t xml:space="preserve"> Ann Cass</w:t>
    </w:r>
  </w:p>
  <w:p w:rsidRPr="008567DF" w:rsidR="00DC0D52" w:rsidP="008567DF" w:rsidRDefault="3EDFCB7D" w14:paraId="68D0364A" w14:textId="254D0546">
    <w:pPr>
      <w:pStyle w:val="Footer"/>
      <w:jc w:val="center"/>
      <w:rPr>
        <w:rFonts w:ascii="Neutraface Text Book" w:hAnsi="Neutraface Text Book"/>
        <w:sz w:val="18"/>
        <w:szCs w:val="18"/>
      </w:rPr>
    </w:pPr>
    <w:r w:rsidRPr="3EDFCB7D">
      <w:rPr>
        <w:rFonts w:ascii="Times New Roman" w:hAnsi="Times New Roman" w:cs="Times New Roman"/>
        <w:sz w:val="18"/>
        <w:szCs w:val="18"/>
      </w:rPr>
      <w:t>​</w:t>
    </w:r>
    <w:r w:rsidRPr="3EDFCB7D">
      <w:rPr>
        <w:rFonts w:ascii="Neutraface Text Demi" w:hAnsi="Neutraface Text Demi"/>
        <w:b/>
        <w:bCs/>
        <w:sz w:val="18"/>
        <w:szCs w:val="18"/>
      </w:rPr>
      <w:t>Parliamentarian</w:t>
    </w:r>
    <w:r w:rsidRPr="3EDFCB7D">
      <w:rPr>
        <w:rFonts w:ascii="Neutraface Text Book" w:hAnsi="Neutraface Text Book"/>
        <w:sz w:val="18"/>
        <w:szCs w:val="18"/>
      </w:rPr>
      <w:t xml:space="preserve">, </w:t>
    </w:r>
    <w:r w:rsidRPr="3EDFCB7D">
      <w:rPr>
        <w:rFonts w:ascii="Times New Roman" w:hAnsi="Times New Roman" w:cs="Times New Roman"/>
        <w:sz w:val="18"/>
        <w:szCs w:val="18"/>
      </w:rPr>
      <w:t>​</w:t>
    </w:r>
    <w:r w:rsidRPr="3EDFCB7D">
      <w:rPr>
        <w:rFonts w:ascii="Neutraface Text Book" w:hAnsi="Neutraface Text Book"/>
        <w:sz w:val="18"/>
        <w:szCs w:val="18"/>
      </w:rPr>
      <w:t xml:space="preserve">Alejandro Moreno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080" w:rsidRDefault="00511080" w14:paraId="123E74C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170A" w:rsidP="00541729" w:rsidRDefault="00E3170A" w14:paraId="1E778E26" w14:textId="77777777">
      <w:r>
        <w:separator/>
      </w:r>
    </w:p>
  </w:footnote>
  <w:footnote w:type="continuationSeparator" w:id="0">
    <w:p w:rsidR="00E3170A" w:rsidP="00541729" w:rsidRDefault="00E3170A" w14:paraId="4EB21CB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080" w:rsidRDefault="00511080" w14:paraId="4A4370C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541729" w:rsidP="001C603D" w:rsidRDefault="00FE440C" w14:paraId="2A3F20E2" w14:textId="6C4FAD86">
    <w:pPr>
      <w:pStyle w:val="Header"/>
      <w:spacing w:after="120"/>
      <w:jc w:val="both"/>
    </w:pPr>
    <w:r w:rsidRPr="00FE440C">
      <w:rPr>
        <w:noProof/>
      </w:rPr>
      <w:drawing>
        <wp:anchor distT="0" distB="0" distL="114300" distR="114300" simplePos="0" relativeHeight="251660288" behindDoc="1" locked="0" layoutInCell="1" allowOverlap="1" wp14:anchorId="059802B7" wp14:editId="4525473D">
          <wp:simplePos x="0" y="0"/>
          <wp:positionH relativeFrom="column">
            <wp:posOffset>-461963</wp:posOffset>
          </wp:positionH>
          <wp:positionV relativeFrom="paragraph">
            <wp:posOffset>-99060</wp:posOffset>
          </wp:positionV>
          <wp:extent cx="6858000" cy="421640"/>
          <wp:effectExtent l="0" t="0" r="0" b="0"/>
          <wp:wrapTight wrapText="bothSides">
            <wp:wrapPolygon edited="0">
              <wp:start x="0" y="0"/>
              <wp:lineTo x="0" y="19518"/>
              <wp:lineTo x="720" y="20494"/>
              <wp:lineTo x="20040" y="20494"/>
              <wp:lineTo x="21240" y="19518"/>
              <wp:lineTo x="21540" y="18542"/>
              <wp:lineTo x="21540" y="2928"/>
              <wp:lineTo x="18180" y="976"/>
              <wp:lineTo x="1080" y="0"/>
              <wp:lineTo x="0" y="0"/>
            </wp:wrapPolygon>
          </wp:wrapTight>
          <wp:docPr id="107388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55883" name=""/>
                  <pic:cNvPicPr/>
                </pic:nvPicPr>
                <pic:blipFill>
                  <a:blip r:embed="rId1"/>
                  <a:stretch>
                    <a:fillRect/>
                  </a:stretch>
                </pic:blipFill>
                <pic:spPr>
                  <a:xfrm>
                    <a:off x="0" y="0"/>
                    <a:ext cx="6858000" cy="421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080" w:rsidRDefault="00511080" w14:paraId="31EE4DB9" w14:textId="7777777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BBAF7"/>
    <w:multiLevelType w:val="hybridMultilevel"/>
    <w:tmpl w:val="18D2A7B8"/>
    <w:lvl w:ilvl="0" w:tplc="E25ED7DC">
      <w:start w:val="1"/>
      <w:numFmt w:val="decimal"/>
      <w:lvlText w:val="%1."/>
      <w:lvlJc w:val="left"/>
      <w:pPr>
        <w:ind w:left="720" w:hanging="360"/>
      </w:pPr>
      <w:rPr>
        <w:rFonts w:hint="default" w:ascii="Calibri" w:hAnsi="Calibri"/>
      </w:rPr>
    </w:lvl>
    <w:lvl w:ilvl="1" w:tplc="9C96B76E">
      <w:start w:val="1"/>
      <w:numFmt w:val="lowerLetter"/>
      <w:lvlText w:val="%2."/>
      <w:lvlJc w:val="left"/>
      <w:pPr>
        <w:ind w:left="1440" w:hanging="360"/>
      </w:pPr>
    </w:lvl>
    <w:lvl w:ilvl="2" w:tplc="929E21BA">
      <w:start w:val="1"/>
      <w:numFmt w:val="lowerRoman"/>
      <w:lvlText w:val="%3."/>
      <w:lvlJc w:val="right"/>
      <w:pPr>
        <w:ind w:left="2160" w:hanging="180"/>
      </w:pPr>
    </w:lvl>
    <w:lvl w:ilvl="3" w:tplc="2D82558A">
      <w:start w:val="1"/>
      <w:numFmt w:val="decimal"/>
      <w:lvlText w:val="%4."/>
      <w:lvlJc w:val="left"/>
      <w:pPr>
        <w:ind w:left="2880" w:hanging="360"/>
      </w:pPr>
    </w:lvl>
    <w:lvl w:ilvl="4" w:tplc="121ADD4C">
      <w:start w:val="1"/>
      <w:numFmt w:val="lowerLetter"/>
      <w:lvlText w:val="%5."/>
      <w:lvlJc w:val="left"/>
      <w:pPr>
        <w:ind w:left="3600" w:hanging="360"/>
      </w:pPr>
    </w:lvl>
    <w:lvl w:ilvl="5" w:tplc="28F6EE50">
      <w:start w:val="1"/>
      <w:numFmt w:val="lowerRoman"/>
      <w:lvlText w:val="%6."/>
      <w:lvlJc w:val="right"/>
      <w:pPr>
        <w:ind w:left="4320" w:hanging="180"/>
      </w:pPr>
    </w:lvl>
    <w:lvl w:ilvl="6" w:tplc="F3E88C56">
      <w:start w:val="1"/>
      <w:numFmt w:val="decimal"/>
      <w:lvlText w:val="%7."/>
      <w:lvlJc w:val="left"/>
      <w:pPr>
        <w:ind w:left="5040" w:hanging="360"/>
      </w:pPr>
    </w:lvl>
    <w:lvl w:ilvl="7" w:tplc="64F8F976">
      <w:start w:val="1"/>
      <w:numFmt w:val="lowerLetter"/>
      <w:lvlText w:val="%8."/>
      <w:lvlJc w:val="left"/>
      <w:pPr>
        <w:ind w:left="5760" w:hanging="360"/>
      </w:pPr>
    </w:lvl>
    <w:lvl w:ilvl="8" w:tplc="CF9C367A">
      <w:start w:val="1"/>
      <w:numFmt w:val="lowerRoman"/>
      <w:lvlText w:val="%9."/>
      <w:lvlJc w:val="right"/>
      <w:pPr>
        <w:ind w:left="6480" w:hanging="180"/>
      </w:pPr>
    </w:lvl>
  </w:abstractNum>
  <w:num w:numId="1" w16cid:durableId="1658849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29"/>
    <w:rsid w:val="00075637"/>
    <w:rsid w:val="00083614"/>
    <w:rsid w:val="0009042D"/>
    <w:rsid w:val="000F0FEA"/>
    <w:rsid w:val="00112631"/>
    <w:rsid w:val="00113F87"/>
    <w:rsid w:val="001173CE"/>
    <w:rsid w:val="0014668A"/>
    <w:rsid w:val="00176D53"/>
    <w:rsid w:val="00194A8C"/>
    <w:rsid w:val="001A4824"/>
    <w:rsid w:val="001C603D"/>
    <w:rsid w:val="001C6349"/>
    <w:rsid w:val="00224C8C"/>
    <w:rsid w:val="00233CA6"/>
    <w:rsid w:val="002602AB"/>
    <w:rsid w:val="00293B69"/>
    <w:rsid w:val="002A1E23"/>
    <w:rsid w:val="003204FB"/>
    <w:rsid w:val="003367E2"/>
    <w:rsid w:val="00347571"/>
    <w:rsid w:val="00372A77"/>
    <w:rsid w:val="00394E8C"/>
    <w:rsid w:val="003C14A0"/>
    <w:rsid w:val="003C3EB3"/>
    <w:rsid w:val="0040009B"/>
    <w:rsid w:val="00456129"/>
    <w:rsid w:val="00487C6B"/>
    <w:rsid w:val="00492F91"/>
    <w:rsid w:val="00497DB0"/>
    <w:rsid w:val="00511080"/>
    <w:rsid w:val="00511CD3"/>
    <w:rsid w:val="00537017"/>
    <w:rsid w:val="00537399"/>
    <w:rsid w:val="00541729"/>
    <w:rsid w:val="00564755"/>
    <w:rsid w:val="00574E90"/>
    <w:rsid w:val="005866F6"/>
    <w:rsid w:val="005B0633"/>
    <w:rsid w:val="005B17E2"/>
    <w:rsid w:val="0063521E"/>
    <w:rsid w:val="00681007"/>
    <w:rsid w:val="00694875"/>
    <w:rsid w:val="006D23F4"/>
    <w:rsid w:val="006D4A4D"/>
    <w:rsid w:val="0070689D"/>
    <w:rsid w:val="00735B7E"/>
    <w:rsid w:val="00774B23"/>
    <w:rsid w:val="007B60F2"/>
    <w:rsid w:val="007F332B"/>
    <w:rsid w:val="00815279"/>
    <w:rsid w:val="00815DAF"/>
    <w:rsid w:val="00846FC7"/>
    <w:rsid w:val="008567DF"/>
    <w:rsid w:val="00883624"/>
    <w:rsid w:val="008A54B5"/>
    <w:rsid w:val="008B4BBE"/>
    <w:rsid w:val="008F3023"/>
    <w:rsid w:val="009246C1"/>
    <w:rsid w:val="0093780E"/>
    <w:rsid w:val="00962F58"/>
    <w:rsid w:val="009771CF"/>
    <w:rsid w:val="0098614A"/>
    <w:rsid w:val="009918AC"/>
    <w:rsid w:val="00993155"/>
    <w:rsid w:val="009D418E"/>
    <w:rsid w:val="009E7F6A"/>
    <w:rsid w:val="009F13F5"/>
    <w:rsid w:val="009F65D6"/>
    <w:rsid w:val="00A00964"/>
    <w:rsid w:val="00A03561"/>
    <w:rsid w:val="00AA0DBE"/>
    <w:rsid w:val="00AE1F5B"/>
    <w:rsid w:val="00AE4E90"/>
    <w:rsid w:val="00B5422F"/>
    <w:rsid w:val="00B56F8B"/>
    <w:rsid w:val="00B858A6"/>
    <w:rsid w:val="00BB237A"/>
    <w:rsid w:val="00BB5917"/>
    <w:rsid w:val="00BB638E"/>
    <w:rsid w:val="00BE4BF2"/>
    <w:rsid w:val="00C121C1"/>
    <w:rsid w:val="00C44B58"/>
    <w:rsid w:val="00C53EA4"/>
    <w:rsid w:val="00C84281"/>
    <w:rsid w:val="00C84AE6"/>
    <w:rsid w:val="00CB0A5A"/>
    <w:rsid w:val="00CB4FC4"/>
    <w:rsid w:val="00CC3B61"/>
    <w:rsid w:val="00CC71BF"/>
    <w:rsid w:val="00D22ACA"/>
    <w:rsid w:val="00DB559C"/>
    <w:rsid w:val="00DC0D52"/>
    <w:rsid w:val="00DC762A"/>
    <w:rsid w:val="00DD40C1"/>
    <w:rsid w:val="00DE1B21"/>
    <w:rsid w:val="00DF15DE"/>
    <w:rsid w:val="00E01592"/>
    <w:rsid w:val="00E1453B"/>
    <w:rsid w:val="00E23ADD"/>
    <w:rsid w:val="00E3053F"/>
    <w:rsid w:val="00E3170A"/>
    <w:rsid w:val="00E3361E"/>
    <w:rsid w:val="00E42CF5"/>
    <w:rsid w:val="00E8541E"/>
    <w:rsid w:val="00EB4239"/>
    <w:rsid w:val="00EF38E6"/>
    <w:rsid w:val="00F02374"/>
    <w:rsid w:val="00F348B1"/>
    <w:rsid w:val="00F457EB"/>
    <w:rsid w:val="00F646CB"/>
    <w:rsid w:val="00FD0EF2"/>
    <w:rsid w:val="00FD25CF"/>
    <w:rsid w:val="00FE4395"/>
    <w:rsid w:val="00FE440C"/>
    <w:rsid w:val="028010ED"/>
    <w:rsid w:val="0B156DEB"/>
    <w:rsid w:val="0BDBBE3C"/>
    <w:rsid w:val="0DEF0308"/>
    <w:rsid w:val="10D37A9D"/>
    <w:rsid w:val="10E389D4"/>
    <w:rsid w:val="11D6B8FA"/>
    <w:rsid w:val="1202FF0F"/>
    <w:rsid w:val="15A6CC66"/>
    <w:rsid w:val="1769E056"/>
    <w:rsid w:val="180D5666"/>
    <w:rsid w:val="18D0114C"/>
    <w:rsid w:val="19ADC00D"/>
    <w:rsid w:val="1B7C10F5"/>
    <w:rsid w:val="1BF32374"/>
    <w:rsid w:val="1C6B08AB"/>
    <w:rsid w:val="22BACF55"/>
    <w:rsid w:val="252AD657"/>
    <w:rsid w:val="25D1C030"/>
    <w:rsid w:val="26593BA0"/>
    <w:rsid w:val="26A76DC7"/>
    <w:rsid w:val="2A5E880F"/>
    <w:rsid w:val="2A8FD164"/>
    <w:rsid w:val="30C30E6B"/>
    <w:rsid w:val="3165F3B2"/>
    <w:rsid w:val="39E18D26"/>
    <w:rsid w:val="3A4759AB"/>
    <w:rsid w:val="3EB98124"/>
    <w:rsid w:val="3EDFCB7D"/>
    <w:rsid w:val="44F321F3"/>
    <w:rsid w:val="45F5B7F6"/>
    <w:rsid w:val="484A17F1"/>
    <w:rsid w:val="4A5F7615"/>
    <w:rsid w:val="4A782DAD"/>
    <w:rsid w:val="4B726467"/>
    <w:rsid w:val="4C61410F"/>
    <w:rsid w:val="4D57C70F"/>
    <w:rsid w:val="5146AFD7"/>
    <w:rsid w:val="5307C4CD"/>
    <w:rsid w:val="53DD9384"/>
    <w:rsid w:val="54682901"/>
    <w:rsid w:val="55E62D89"/>
    <w:rsid w:val="5E298C0B"/>
    <w:rsid w:val="5F204D53"/>
    <w:rsid w:val="5F646BA3"/>
    <w:rsid w:val="609D7CC4"/>
    <w:rsid w:val="62A90B6E"/>
    <w:rsid w:val="64D13D05"/>
    <w:rsid w:val="6BDB731B"/>
    <w:rsid w:val="6DD3E9E8"/>
    <w:rsid w:val="71E3BFDE"/>
    <w:rsid w:val="73BF76C2"/>
    <w:rsid w:val="760BF264"/>
    <w:rsid w:val="77268FC7"/>
    <w:rsid w:val="786FD32C"/>
    <w:rsid w:val="78C0E67B"/>
    <w:rsid w:val="79E47A3D"/>
    <w:rsid w:val="7A4C75DA"/>
    <w:rsid w:val="7B204EF5"/>
    <w:rsid w:val="7BCBD5DD"/>
    <w:rsid w:val="7C52DAD5"/>
    <w:rsid w:val="7E8178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0483B"/>
  <w15:chartTrackingRefBased/>
  <w15:docId w15:val="{EC0D0EC7-B947-C74B-90E2-98219385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41729"/>
    <w:pPr>
      <w:tabs>
        <w:tab w:val="center" w:pos="4680"/>
        <w:tab w:val="right" w:pos="9360"/>
      </w:tabs>
    </w:pPr>
  </w:style>
  <w:style w:type="character" w:styleId="HeaderChar" w:customStyle="1">
    <w:name w:val="Header Char"/>
    <w:basedOn w:val="DefaultParagraphFont"/>
    <w:link w:val="Header"/>
    <w:uiPriority w:val="99"/>
    <w:rsid w:val="00541729"/>
  </w:style>
  <w:style w:type="paragraph" w:styleId="Footer">
    <w:name w:val="footer"/>
    <w:basedOn w:val="Normal"/>
    <w:link w:val="FooterChar"/>
    <w:uiPriority w:val="99"/>
    <w:unhideWhenUsed/>
    <w:rsid w:val="00541729"/>
    <w:pPr>
      <w:tabs>
        <w:tab w:val="center" w:pos="4680"/>
        <w:tab w:val="right" w:pos="9360"/>
      </w:tabs>
    </w:pPr>
  </w:style>
  <w:style w:type="character" w:styleId="FooterChar" w:customStyle="1">
    <w:name w:val="Footer Char"/>
    <w:basedOn w:val="DefaultParagraphFont"/>
    <w:link w:val="Footer"/>
    <w:uiPriority w:val="99"/>
    <w:rsid w:val="00541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4960">
      <w:bodyDiv w:val="1"/>
      <w:marLeft w:val="0"/>
      <w:marRight w:val="0"/>
      <w:marTop w:val="0"/>
      <w:marBottom w:val="0"/>
      <w:divBdr>
        <w:top w:val="none" w:sz="0" w:space="0" w:color="auto"/>
        <w:left w:val="none" w:sz="0" w:space="0" w:color="auto"/>
        <w:bottom w:val="none" w:sz="0" w:space="0" w:color="auto"/>
        <w:right w:val="none" w:sz="0" w:space="0" w:color="auto"/>
      </w:divBdr>
    </w:div>
    <w:div w:id="151333062">
      <w:bodyDiv w:val="1"/>
      <w:marLeft w:val="0"/>
      <w:marRight w:val="0"/>
      <w:marTop w:val="0"/>
      <w:marBottom w:val="0"/>
      <w:divBdr>
        <w:top w:val="none" w:sz="0" w:space="0" w:color="auto"/>
        <w:left w:val="none" w:sz="0" w:space="0" w:color="auto"/>
        <w:bottom w:val="none" w:sz="0" w:space="0" w:color="auto"/>
        <w:right w:val="none" w:sz="0" w:space="0" w:color="auto"/>
      </w:divBdr>
    </w:div>
    <w:div w:id="527573196">
      <w:bodyDiv w:val="1"/>
      <w:marLeft w:val="0"/>
      <w:marRight w:val="0"/>
      <w:marTop w:val="0"/>
      <w:marBottom w:val="0"/>
      <w:divBdr>
        <w:top w:val="none" w:sz="0" w:space="0" w:color="auto"/>
        <w:left w:val="none" w:sz="0" w:space="0" w:color="auto"/>
        <w:bottom w:val="none" w:sz="0" w:space="0" w:color="auto"/>
        <w:right w:val="none" w:sz="0" w:space="0" w:color="auto"/>
      </w:divBdr>
    </w:div>
    <w:div w:id="1378622953">
      <w:bodyDiv w:val="1"/>
      <w:marLeft w:val="0"/>
      <w:marRight w:val="0"/>
      <w:marTop w:val="0"/>
      <w:marBottom w:val="0"/>
      <w:divBdr>
        <w:top w:val="none" w:sz="0" w:space="0" w:color="auto"/>
        <w:left w:val="none" w:sz="0" w:space="0" w:color="auto"/>
        <w:bottom w:val="none" w:sz="0" w:space="0" w:color="auto"/>
        <w:right w:val="none" w:sz="0" w:space="0" w:color="auto"/>
      </w:divBdr>
    </w:div>
    <w:div w:id="1843231581">
      <w:bodyDiv w:val="1"/>
      <w:marLeft w:val="0"/>
      <w:marRight w:val="0"/>
      <w:marTop w:val="0"/>
      <w:marBottom w:val="0"/>
      <w:divBdr>
        <w:top w:val="none" w:sz="0" w:space="0" w:color="auto"/>
        <w:left w:val="none" w:sz="0" w:space="0" w:color="auto"/>
        <w:bottom w:val="none" w:sz="0" w:space="0" w:color="auto"/>
        <w:right w:val="none" w:sz="0" w:space="0" w:color="auto"/>
      </w:divBdr>
    </w:div>
    <w:div w:id="19655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B4471C96A33C43B22BA98319656E6A" ma:contentTypeVersion="16" ma:contentTypeDescription="Create a new document." ma:contentTypeScope="" ma:versionID="23b7b04e8407bde36e17f9314d30e079">
  <xsd:schema xmlns:xsd="http://www.w3.org/2001/XMLSchema" xmlns:xs="http://www.w3.org/2001/XMLSchema" xmlns:p="http://schemas.microsoft.com/office/2006/metadata/properties" xmlns:ns2="1acb9adc-ec33-475f-8130-c1c307b91901" xmlns:ns3="12292255-f18b-4d92-9e60-ebc7b63bbd6b" targetNamespace="http://schemas.microsoft.com/office/2006/metadata/properties" ma:root="true" ma:fieldsID="4e29a7c4c17243f6872a4a50572baf86" ns2:_="" ns3:_="">
    <xsd:import namespace="1acb9adc-ec33-475f-8130-c1c307b91901"/>
    <xsd:import namespace="12292255-f18b-4d92-9e60-ebc7b63bbd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b9adc-ec33-475f-8130-c1c307b91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aabad1b-d29f-4535-a4fd-e790a0fa60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292255-f18b-4d92-9e60-ebc7b63bbd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b1fe82-0789-4bbc-94a6-407bd51118ce}" ma:internalName="TaxCatchAll" ma:showField="CatchAllData" ma:web="12292255-f18b-4d92-9e60-ebc7b63bbd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cb9adc-ec33-475f-8130-c1c307b91901">
      <Terms xmlns="http://schemas.microsoft.com/office/infopath/2007/PartnerControls"/>
    </lcf76f155ced4ddcb4097134ff3c332f>
    <TaxCatchAll xmlns="12292255-f18b-4d92-9e60-ebc7b63bbd6b" xsi:nil="true"/>
  </documentManagement>
</p:properties>
</file>

<file path=customXml/itemProps1.xml><?xml version="1.0" encoding="utf-8"?>
<ds:datastoreItem xmlns:ds="http://schemas.openxmlformats.org/officeDocument/2006/customXml" ds:itemID="{22F0BC64-2385-430B-B726-1A956A06D687}"/>
</file>

<file path=customXml/itemProps2.xml><?xml version="1.0" encoding="utf-8"?>
<ds:datastoreItem xmlns:ds="http://schemas.openxmlformats.org/officeDocument/2006/customXml" ds:itemID="{674B5412-91D6-458F-8C01-D77D7B555256}">
  <ds:schemaRefs>
    <ds:schemaRef ds:uri="http://schemas.microsoft.com/sharepoint/v3/contenttype/forms"/>
  </ds:schemaRefs>
</ds:datastoreItem>
</file>

<file path=customXml/itemProps3.xml><?xml version="1.0" encoding="utf-8"?>
<ds:datastoreItem xmlns:ds="http://schemas.openxmlformats.org/officeDocument/2006/customXml" ds:itemID="{D04D7D9A-D669-482B-838E-7C2C89029CF4}">
  <ds:schemaRefs>
    <ds:schemaRef ds:uri="http://schemas.microsoft.com/office/2006/metadata/properties"/>
    <ds:schemaRef ds:uri="http://schemas.microsoft.com/office/infopath/2007/PartnerControls"/>
    <ds:schemaRef ds:uri="1acb9adc-ec33-475f-8130-c1c307b91901"/>
    <ds:schemaRef ds:uri="12292255-f18b-4d92-9e60-ebc7b63bbd6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Ghiat, Mehdi</dc:creator>
  <keywords/>
  <dc:description/>
  <lastModifiedBy>Coyne, Claire</lastModifiedBy>
  <revision>3</revision>
  <dcterms:created xsi:type="dcterms:W3CDTF">2026-02-24T20:20:00.0000000Z</dcterms:created>
  <dcterms:modified xsi:type="dcterms:W3CDTF">2026-02-24T20:21:17.0411795Z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0x01010052B4471C96A33C43B22BA98319656E6A</vt:lpwstr>
  </property>
  <property fmtid="{D5CDD505-2E9C-101B-9397-08002B2CF9AE}" pid="3" name="MediaServiceImageTags">
    <vt:lpwstr/>
  </property>
</Properties>
</file>