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E8B" w:rsidRPr="00C50AA1" w:rsidRDefault="005A4E8B" w:rsidP="00B67FDC">
      <w:pPr>
        <w:jc w:val="center"/>
        <w:rPr>
          <w:rFonts w:ascii="Times New Roman" w:hAnsi="Times New Roman" w:cs="Times New Roman"/>
          <w:b/>
          <w:sz w:val="24"/>
          <w:szCs w:val="24"/>
        </w:rPr>
      </w:pPr>
      <w:bookmarkStart w:id="0" w:name="_GoBack"/>
      <w:bookmarkEnd w:id="0"/>
      <w:r w:rsidRPr="00C50AA1">
        <w:rPr>
          <w:rFonts w:ascii="Times New Roman" w:hAnsi="Times New Roman" w:cs="Times New Roman"/>
          <w:b/>
          <w:sz w:val="24"/>
          <w:szCs w:val="24"/>
        </w:rPr>
        <w:t>Quality Focus Essay</w:t>
      </w:r>
    </w:p>
    <w:p w:rsidR="005A4E8B" w:rsidRDefault="005A4E8B" w:rsidP="005A4E8B">
      <w:pPr>
        <w:spacing w:after="0"/>
        <w:ind w:right="14"/>
        <w:rPr>
          <w:rFonts w:ascii="Times New Roman" w:hAnsi="Times New Roman" w:cs="Times New Roman"/>
          <w:sz w:val="24"/>
          <w:szCs w:val="24"/>
        </w:rPr>
      </w:pPr>
      <w:r w:rsidRPr="00AF4915">
        <w:rPr>
          <w:rFonts w:ascii="Times New Roman" w:hAnsi="Times New Roman" w:cs="Times New Roman"/>
          <w:sz w:val="24"/>
          <w:szCs w:val="24"/>
        </w:rPr>
        <w:t>The Quality Focus Essay is the component of the ISER which will provide the opportunity for Santa Ana College to be innovative and to propose new ideas and projects that will improve student learning and/or student achievement at the institutional level.</w:t>
      </w:r>
      <w:r w:rsidRPr="005A4E8B">
        <w:rPr>
          <w:rFonts w:ascii="Times New Roman" w:hAnsi="Times New Roman" w:cs="Times New Roman"/>
          <w:sz w:val="24"/>
          <w:szCs w:val="24"/>
        </w:rPr>
        <w:t xml:space="preserve">   </w:t>
      </w:r>
    </w:p>
    <w:p w:rsidR="005A4E8B" w:rsidRDefault="005A4E8B" w:rsidP="005A4E8B">
      <w:pPr>
        <w:spacing w:after="0"/>
        <w:ind w:right="14"/>
        <w:rPr>
          <w:rFonts w:ascii="Times New Roman" w:hAnsi="Times New Roman" w:cs="Times New Roman"/>
          <w:sz w:val="24"/>
          <w:szCs w:val="24"/>
        </w:rPr>
      </w:pPr>
    </w:p>
    <w:p w:rsidR="005A4E8B" w:rsidRPr="00C50AA1" w:rsidRDefault="005A4E8B" w:rsidP="005A4E8B">
      <w:pPr>
        <w:spacing w:after="0"/>
        <w:ind w:right="14"/>
        <w:jc w:val="center"/>
        <w:rPr>
          <w:rFonts w:ascii="Times New Roman" w:hAnsi="Times New Roman" w:cs="Times New Roman"/>
          <w:b/>
          <w:sz w:val="32"/>
          <w:szCs w:val="24"/>
        </w:rPr>
      </w:pPr>
      <w:r w:rsidRPr="00C50AA1">
        <w:rPr>
          <w:rFonts w:ascii="Times New Roman" w:hAnsi="Times New Roman" w:cs="Times New Roman"/>
          <w:b/>
          <w:sz w:val="32"/>
          <w:szCs w:val="24"/>
        </w:rPr>
        <w:t>Guided Pathways</w:t>
      </w:r>
      <w:r w:rsidR="00C50AA1">
        <w:rPr>
          <w:rFonts w:ascii="Times New Roman" w:hAnsi="Times New Roman" w:cs="Times New Roman"/>
          <w:b/>
          <w:sz w:val="32"/>
          <w:szCs w:val="24"/>
        </w:rPr>
        <w:t xml:space="preserve"> at Santa Ana College</w:t>
      </w:r>
    </w:p>
    <w:p w:rsidR="005A4E8B" w:rsidRDefault="005A4E8B" w:rsidP="005A4E8B">
      <w:pPr>
        <w:spacing w:after="0"/>
        <w:ind w:right="14"/>
        <w:rPr>
          <w:rFonts w:ascii="Times New Roman" w:hAnsi="Times New Roman" w:cs="Times New Roman"/>
          <w:sz w:val="24"/>
          <w:szCs w:val="24"/>
        </w:rPr>
      </w:pPr>
      <w:bookmarkStart w:id="1" w:name="_Hlk65152064"/>
      <w:r>
        <w:rPr>
          <w:rFonts w:ascii="Times New Roman" w:hAnsi="Times New Roman" w:cs="Times New Roman"/>
          <w:sz w:val="24"/>
          <w:szCs w:val="24"/>
        </w:rPr>
        <w:t>As one of 20 demonstration colleges of the California Guided Pathways</w:t>
      </w:r>
      <w:r w:rsidR="00D64F79">
        <w:rPr>
          <w:rFonts w:ascii="Times New Roman" w:hAnsi="Times New Roman" w:cs="Times New Roman"/>
          <w:sz w:val="24"/>
          <w:szCs w:val="24"/>
        </w:rPr>
        <w:t xml:space="preserve"> Project</w:t>
      </w:r>
      <w:r>
        <w:rPr>
          <w:rFonts w:ascii="Times New Roman" w:hAnsi="Times New Roman" w:cs="Times New Roman"/>
          <w:sz w:val="24"/>
          <w:szCs w:val="24"/>
        </w:rPr>
        <w:t xml:space="preserve">, Santa Ana College has been engaged in a critical transformation of our institution since Fall 2017. The work </w:t>
      </w:r>
      <w:r w:rsidR="000950AC">
        <w:rPr>
          <w:rFonts w:ascii="Times New Roman" w:hAnsi="Times New Roman" w:cs="Times New Roman"/>
          <w:sz w:val="24"/>
          <w:szCs w:val="24"/>
        </w:rPr>
        <w:t xml:space="preserve">initiated with a plan to implement </w:t>
      </w:r>
      <w:r>
        <w:rPr>
          <w:rFonts w:ascii="Times New Roman" w:hAnsi="Times New Roman" w:cs="Times New Roman"/>
          <w:sz w:val="24"/>
          <w:szCs w:val="24"/>
        </w:rPr>
        <w:t xml:space="preserve">various </w:t>
      </w:r>
      <w:r w:rsidR="000950AC">
        <w:rPr>
          <w:rFonts w:ascii="Times New Roman" w:hAnsi="Times New Roman" w:cs="Times New Roman"/>
          <w:sz w:val="24"/>
          <w:szCs w:val="24"/>
        </w:rPr>
        <w:t>project</w:t>
      </w:r>
      <w:r w:rsidR="00D64F79">
        <w:rPr>
          <w:rFonts w:ascii="Times New Roman" w:hAnsi="Times New Roman" w:cs="Times New Roman"/>
          <w:sz w:val="24"/>
          <w:szCs w:val="24"/>
        </w:rPr>
        <w:t xml:space="preserve">s which are intended to </w:t>
      </w:r>
      <w:r w:rsidR="000950AC" w:rsidRPr="005A4E8B">
        <w:rPr>
          <w:rFonts w:ascii="Times New Roman" w:hAnsi="Times New Roman" w:cs="Times New Roman"/>
          <w:sz w:val="24"/>
          <w:szCs w:val="24"/>
        </w:rPr>
        <w:t>have a positive impact on improving student learning and student achievement over a multi-year period</w:t>
      </w:r>
      <w:r w:rsidR="00D64F79">
        <w:rPr>
          <w:rFonts w:ascii="Times New Roman" w:hAnsi="Times New Roman" w:cs="Times New Roman"/>
          <w:sz w:val="24"/>
          <w:szCs w:val="24"/>
        </w:rPr>
        <w:t>.</w:t>
      </w:r>
      <w:r w:rsidR="00193AA4">
        <w:rPr>
          <w:rFonts w:ascii="Times New Roman" w:hAnsi="Times New Roman" w:cs="Times New Roman"/>
          <w:sz w:val="24"/>
          <w:szCs w:val="24"/>
        </w:rPr>
        <w:t xml:space="preserve"> Our initiation and engagement with the projects </w:t>
      </w:r>
      <w:r w:rsidR="007D4CE0">
        <w:rPr>
          <w:rFonts w:ascii="Times New Roman" w:hAnsi="Times New Roman" w:cs="Times New Roman"/>
          <w:sz w:val="24"/>
          <w:szCs w:val="24"/>
        </w:rPr>
        <w:t xml:space="preserve">described </w:t>
      </w:r>
      <w:r w:rsidR="00193AA4">
        <w:rPr>
          <w:rFonts w:ascii="Times New Roman" w:hAnsi="Times New Roman" w:cs="Times New Roman"/>
          <w:sz w:val="24"/>
          <w:szCs w:val="24"/>
        </w:rPr>
        <w:t>below has relied on Guided Pathways funding from the California Community College Chancellors Office. As our college moves beyond the fifth and final year of funding, our challenge as a</w:t>
      </w:r>
      <w:r w:rsidR="007D4CE0">
        <w:rPr>
          <w:rFonts w:ascii="Times New Roman" w:hAnsi="Times New Roman" w:cs="Times New Roman"/>
          <w:sz w:val="24"/>
          <w:szCs w:val="24"/>
        </w:rPr>
        <w:t xml:space="preserve"> college </w:t>
      </w:r>
      <w:r w:rsidR="00193AA4">
        <w:rPr>
          <w:rFonts w:ascii="Times New Roman" w:hAnsi="Times New Roman" w:cs="Times New Roman"/>
          <w:sz w:val="24"/>
          <w:szCs w:val="24"/>
        </w:rPr>
        <w:t>will be to institutionalize these efforts</w:t>
      </w:r>
      <w:r w:rsidR="002F2BF4">
        <w:rPr>
          <w:rFonts w:ascii="Times New Roman" w:hAnsi="Times New Roman" w:cs="Times New Roman"/>
          <w:sz w:val="24"/>
          <w:szCs w:val="24"/>
        </w:rPr>
        <w:t>, seek further funding</w:t>
      </w:r>
      <w:r w:rsidR="007D4CE0">
        <w:rPr>
          <w:rFonts w:ascii="Times New Roman" w:hAnsi="Times New Roman" w:cs="Times New Roman"/>
          <w:sz w:val="24"/>
          <w:szCs w:val="24"/>
        </w:rPr>
        <w:t xml:space="preserve"> and incorporate the work into our current department and program processes.</w:t>
      </w:r>
    </w:p>
    <w:bookmarkEnd w:id="1"/>
    <w:p w:rsidR="00D459B8" w:rsidRDefault="00D459B8" w:rsidP="005A4E8B">
      <w:pPr>
        <w:spacing w:after="0"/>
        <w:ind w:right="14"/>
        <w:rPr>
          <w:rFonts w:ascii="Times New Roman" w:hAnsi="Times New Roman" w:cs="Times New Roman"/>
          <w:sz w:val="24"/>
          <w:szCs w:val="24"/>
        </w:rPr>
      </w:pPr>
    </w:p>
    <w:p w:rsidR="00D459B8" w:rsidRDefault="00D459B8" w:rsidP="005A4E8B">
      <w:pPr>
        <w:spacing w:after="0"/>
        <w:ind w:right="14"/>
        <w:rPr>
          <w:rFonts w:ascii="Times New Roman" w:hAnsi="Times New Roman" w:cs="Times New Roman"/>
          <w:sz w:val="24"/>
          <w:szCs w:val="24"/>
        </w:rPr>
      </w:pPr>
      <w:r>
        <w:rPr>
          <w:rFonts w:ascii="Times New Roman" w:hAnsi="Times New Roman" w:cs="Times New Roman"/>
          <w:sz w:val="24"/>
          <w:szCs w:val="24"/>
        </w:rPr>
        <w:t>Our college’s Guided Pathways effort was grounded in a need to address lagging key performance indicators as reported by the California Community College Chancellor’s Office based on 2017 data:</w:t>
      </w:r>
    </w:p>
    <w:p w:rsidR="00D459B8" w:rsidRDefault="00D459B8" w:rsidP="005A4E8B">
      <w:pPr>
        <w:spacing w:after="0"/>
        <w:ind w:right="14"/>
        <w:rPr>
          <w:rFonts w:ascii="Times New Roman" w:hAnsi="Times New Roman" w:cs="Times New Roman"/>
          <w:sz w:val="24"/>
          <w:szCs w:val="24"/>
        </w:rPr>
      </w:pPr>
    </w:p>
    <w:p w:rsidR="00D459B8" w:rsidRPr="00897BA8" w:rsidRDefault="00D459B8" w:rsidP="00897BA8">
      <w:pPr>
        <w:pStyle w:val="ListParagraph"/>
        <w:numPr>
          <w:ilvl w:val="0"/>
          <w:numId w:val="3"/>
        </w:numPr>
        <w:spacing w:after="0"/>
        <w:ind w:right="14"/>
        <w:rPr>
          <w:rFonts w:ascii="Times New Roman" w:hAnsi="Times New Roman" w:cs="Times New Roman"/>
          <w:sz w:val="24"/>
          <w:szCs w:val="24"/>
        </w:rPr>
      </w:pPr>
      <w:r w:rsidRPr="00897BA8">
        <w:rPr>
          <w:rFonts w:ascii="Times New Roman" w:hAnsi="Times New Roman" w:cs="Times New Roman"/>
          <w:sz w:val="24"/>
          <w:szCs w:val="24"/>
        </w:rPr>
        <w:t>Santa Ana College student</w:t>
      </w:r>
      <w:r w:rsidR="00DF372C" w:rsidRPr="00897BA8">
        <w:rPr>
          <w:rFonts w:ascii="Times New Roman" w:hAnsi="Times New Roman" w:cs="Times New Roman"/>
          <w:sz w:val="24"/>
          <w:szCs w:val="24"/>
        </w:rPr>
        <w:t>s</w:t>
      </w:r>
      <w:r w:rsidRPr="00897BA8">
        <w:rPr>
          <w:rFonts w:ascii="Times New Roman" w:hAnsi="Times New Roman" w:cs="Times New Roman"/>
          <w:sz w:val="24"/>
          <w:szCs w:val="24"/>
        </w:rPr>
        <w:t xml:space="preserve"> attempted 13 credits per year compared to a statewide average of 19 credits per yea</w:t>
      </w:r>
      <w:r w:rsidR="00DF372C" w:rsidRPr="00897BA8">
        <w:rPr>
          <w:rFonts w:ascii="Times New Roman" w:hAnsi="Times New Roman" w:cs="Times New Roman"/>
          <w:sz w:val="24"/>
          <w:szCs w:val="24"/>
        </w:rPr>
        <w:t>r,</w:t>
      </w:r>
    </w:p>
    <w:p w:rsidR="00D459B8" w:rsidRDefault="00D459B8" w:rsidP="00D459B8">
      <w:pPr>
        <w:pStyle w:val="ListParagraph"/>
        <w:numPr>
          <w:ilvl w:val="0"/>
          <w:numId w:val="3"/>
        </w:numPr>
        <w:spacing w:after="0"/>
        <w:ind w:right="14"/>
        <w:rPr>
          <w:rFonts w:ascii="Times New Roman" w:hAnsi="Times New Roman" w:cs="Times New Roman"/>
          <w:sz w:val="24"/>
          <w:szCs w:val="24"/>
        </w:rPr>
      </w:pPr>
      <w:r w:rsidRPr="00D459B8">
        <w:rPr>
          <w:rFonts w:ascii="Times New Roman" w:hAnsi="Times New Roman" w:cs="Times New Roman"/>
          <w:sz w:val="24"/>
          <w:szCs w:val="24"/>
        </w:rPr>
        <w:t>47% of our college’s students were persisting from term one to term two compared to a statewide average of 68%</w:t>
      </w:r>
      <w:r>
        <w:rPr>
          <w:rFonts w:ascii="Times New Roman" w:hAnsi="Times New Roman" w:cs="Times New Roman"/>
          <w:sz w:val="24"/>
          <w:szCs w:val="24"/>
        </w:rPr>
        <w:t>,</w:t>
      </w:r>
    </w:p>
    <w:p w:rsidR="00D459B8" w:rsidRDefault="00D459B8" w:rsidP="00D459B8">
      <w:pPr>
        <w:pStyle w:val="ListParagraph"/>
        <w:numPr>
          <w:ilvl w:val="0"/>
          <w:numId w:val="3"/>
        </w:numPr>
        <w:spacing w:after="0"/>
        <w:ind w:right="14"/>
        <w:rPr>
          <w:rFonts w:ascii="Times New Roman" w:hAnsi="Times New Roman" w:cs="Times New Roman"/>
          <w:sz w:val="24"/>
          <w:szCs w:val="24"/>
        </w:rPr>
      </w:pPr>
      <w:r>
        <w:rPr>
          <w:rFonts w:ascii="Times New Roman" w:hAnsi="Times New Roman" w:cs="Times New Roman"/>
          <w:sz w:val="24"/>
          <w:szCs w:val="24"/>
        </w:rPr>
        <w:t>5% of our students completed both transfer-level English and math in year one,</w:t>
      </w:r>
    </w:p>
    <w:p w:rsidR="00D459B8" w:rsidRDefault="00D459B8" w:rsidP="00D459B8">
      <w:pPr>
        <w:pStyle w:val="ListParagraph"/>
        <w:numPr>
          <w:ilvl w:val="0"/>
          <w:numId w:val="3"/>
        </w:numPr>
        <w:spacing w:after="0"/>
        <w:ind w:right="14"/>
        <w:rPr>
          <w:rFonts w:ascii="Times New Roman" w:hAnsi="Times New Roman" w:cs="Times New Roman"/>
          <w:sz w:val="24"/>
          <w:szCs w:val="24"/>
        </w:rPr>
      </w:pPr>
      <w:r>
        <w:rPr>
          <w:rFonts w:ascii="Times New Roman" w:hAnsi="Times New Roman" w:cs="Times New Roman"/>
          <w:sz w:val="24"/>
          <w:szCs w:val="24"/>
        </w:rPr>
        <w:t>2% of our students successfully earned 15 or more credits in their first term, and</w:t>
      </w:r>
    </w:p>
    <w:p w:rsidR="00D459B8" w:rsidRPr="00D459B8" w:rsidRDefault="00D459B8" w:rsidP="00D459B8">
      <w:pPr>
        <w:pStyle w:val="ListParagraph"/>
        <w:numPr>
          <w:ilvl w:val="0"/>
          <w:numId w:val="3"/>
        </w:numPr>
        <w:spacing w:after="0"/>
        <w:ind w:right="14"/>
        <w:rPr>
          <w:rFonts w:ascii="Times New Roman" w:hAnsi="Times New Roman" w:cs="Times New Roman"/>
          <w:sz w:val="24"/>
          <w:szCs w:val="24"/>
        </w:rPr>
      </w:pPr>
      <w:r>
        <w:rPr>
          <w:rFonts w:ascii="Times New Roman" w:hAnsi="Times New Roman" w:cs="Times New Roman"/>
          <w:sz w:val="24"/>
          <w:szCs w:val="24"/>
        </w:rPr>
        <w:t xml:space="preserve">3% of our students successfully </w:t>
      </w:r>
      <w:r w:rsidR="00DF372C">
        <w:rPr>
          <w:rFonts w:ascii="Times New Roman" w:hAnsi="Times New Roman" w:cs="Times New Roman"/>
          <w:sz w:val="24"/>
          <w:szCs w:val="24"/>
        </w:rPr>
        <w:t>earned 30 or more college credits in year one.</w:t>
      </w:r>
    </w:p>
    <w:p w:rsidR="00D64F79" w:rsidRDefault="00D64F79" w:rsidP="00D64F79">
      <w:pPr>
        <w:spacing w:after="0" w:line="259" w:lineRule="auto"/>
        <w:rPr>
          <w:rFonts w:ascii="Times New Roman" w:hAnsi="Times New Roman" w:cs="Times New Roman"/>
          <w:sz w:val="24"/>
          <w:szCs w:val="24"/>
        </w:rPr>
      </w:pPr>
    </w:p>
    <w:p w:rsidR="00DF372C" w:rsidRDefault="00DF372C" w:rsidP="00D64F79">
      <w:pPr>
        <w:spacing w:after="0" w:line="259" w:lineRule="auto"/>
        <w:rPr>
          <w:rFonts w:ascii="Times New Roman" w:hAnsi="Times New Roman" w:cs="Times New Roman"/>
          <w:sz w:val="24"/>
          <w:szCs w:val="24"/>
        </w:rPr>
      </w:pPr>
      <w:r>
        <w:rPr>
          <w:rFonts w:ascii="Times New Roman" w:hAnsi="Times New Roman" w:cs="Times New Roman"/>
          <w:sz w:val="24"/>
          <w:szCs w:val="24"/>
        </w:rPr>
        <w:t>In an effort to increase success rates, persistence, and completion, our Guided Pathways team has focused on</w:t>
      </w:r>
      <w:r w:rsidR="002D16E8">
        <w:rPr>
          <w:rFonts w:ascii="Times New Roman" w:hAnsi="Times New Roman" w:cs="Times New Roman"/>
          <w:sz w:val="24"/>
          <w:szCs w:val="24"/>
        </w:rPr>
        <w:t xml:space="preserve"> advancing</w:t>
      </w:r>
      <w:r>
        <w:rPr>
          <w:rFonts w:ascii="Times New Roman" w:hAnsi="Times New Roman" w:cs="Times New Roman"/>
          <w:sz w:val="24"/>
          <w:szCs w:val="24"/>
        </w:rPr>
        <w:t xml:space="preserve"> </w:t>
      </w:r>
      <w:r w:rsidR="00897BA8">
        <w:rPr>
          <w:rFonts w:ascii="Times New Roman" w:hAnsi="Times New Roman" w:cs="Times New Roman"/>
          <w:sz w:val="24"/>
          <w:szCs w:val="24"/>
        </w:rPr>
        <w:t xml:space="preserve">three </w:t>
      </w:r>
      <w:r>
        <w:rPr>
          <w:rFonts w:ascii="Times New Roman" w:hAnsi="Times New Roman" w:cs="Times New Roman"/>
          <w:sz w:val="24"/>
          <w:szCs w:val="24"/>
        </w:rPr>
        <w:t xml:space="preserve">major </w:t>
      </w:r>
      <w:r w:rsidR="00897BA8">
        <w:rPr>
          <w:rFonts w:ascii="Times New Roman" w:hAnsi="Times New Roman" w:cs="Times New Roman"/>
          <w:sz w:val="24"/>
          <w:szCs w:val="24"/>
        </w:rPr>
        <w:t>projects</w:t>
      </w:r>
      <w:r>
        <w:rPr>
          <w:rFonts w:ascii="Times New Roman" w:hAnsi="Times New Roman" w:cs="Times New Roman"/>
          <w:sz w:val="24"/>
          <w:szCs w:val="24"/>
        </w:rPr>
        <w:t>, as outlined below.</w:t>
      </w:r>
      <w:r w:rsidR="00A83B9D">
        <w:rPr>
          <w:rFonts w:ascii="Times New Roman" w:hAnsi="Times New Roman" w:cs="Times New Roman"/>
          <w:sz w:val="24"/>
          <w:szCs w:val="24"/>
        </w:rPr>
        <w:t xml:space="preserve"> Additionally, as we annually evaluate our Guided Pathways initiative utilizing the </w:t>
      </w:r>
      <w:r w:rsidR="005863B9">
        <w:rPr>
          <w:rFonts w:ascii="Times New Roman" w:hAnsi="Times New Roman" w:cs="Times New Roman"/>
          <w:sz w:val="24"/>
          <w:szCs w:val="24"/>
        </w:rPr>
        <w:t>22 Essential Practices outlined in the Scale of Adoption Assessment, our goal is to demonstrate continual improvement in these critical areas identified to support student success.</w:t>
      </w:r>
    </w:p>
    <w:p w:rsidR="00DF372C" w:rsidRDefault="00DF372C" w:rsidP="00D64F79">
      <w:pPr>
        <w:spacing w:after="0" w:line="259" w:lineRule="auto"/>
        <w:rPr>
          <w:rFonts w:ascii="Times New Roman" w:hAnsi="Times New Roman" w:cs="Times New Roman"/>
          <w:sz w:val="24"/>
          <w:szCs w:val="24"/>
        </w:rPr>
      </w:pPr>
    </w:p>
    <w:p w:rsidR="00D64F79" w:rsidRPr="000950AC" w:rsidRDefault="002D16E8" w:rsidP="00D64F79">
      <w:pPr>
        <w:spacing w:after="0" w:line="259" w:lineRule="auto"/>
        <w:rPr>
          <w:rFonts w:ascii="Times New Roman" w:hAnsi="Times New Roman" w:cs="Times New Roman"/>
          <w:b/>
          <w:sz w:val="24"/>
          <w:szCs w:val="24"/>
          <w:u w:val="single"/>
        </w:rPr>
      </w:pPr>
      <w:r w:rsidRPr="00161CE6">
        <w:rPr>
          <w:rFonts w:ascii="Times New Roman" w:hAnsi="Times New Roman" w:cs="Times New Roman"/>
          <w:b/>
          <w:i/>
          <w:sz w:val="24"/>
          <w:szCs w:val="24"/>
          <w:u w:val="single"/>
        </w:rPr>
        <w:t>Quality Focus Project #1</w:t>
      </w:r>
      <w:r>
        <w:rPr>
          <w:rFonts w:ascii="Times New Roman" w:hAnsi="Times New Roman" w:cs="Times New Roman"/>
          <w:b/>
          <w:sz w:val="24"/>
          <w:szCs w:val="24"/>
          <w:u w:val="single"/>
        </w:rPr>
        <w:t xml:space="preserve"> - </w:t>
      </w:r>
      <w:r w:rsidR="00D64F79" w:rsidRPr="000950AC">
        <w:rPr>
          <w:rFonts w:ascii="Times New Roman" w:hAnsi="Times New Roman" w:cs="Times New Roman"/>
          <w:b/>
          <w:sz w:val="24"/>
          <w:szCs w:val="24"/>
          <w:u w:val="single"/>
        </w:rPr>
        <w:t>Career and Academic Pathways</w:t>
      </w:r>
    </w:p>
    <w:p w:rsidR="00D64F79" w:rsidRDefault="00D64F79" w:rsidP="00D64F79">
      <w:pPr>
        <w:spacing w:after="0" w:line="259" w:lineRule="auto"/>
        <w:rPr>
          <w:rFonts w:ascii="Times New Roman" w:hAnsi="Times New Roman" w:cs="Times New Roman"/>
          <w:sz w:val="24"/>
          <w:szCs w:val="24"/>
        </w:rPr>
      </w:pPr>
    </w:p>
    <w:p w:rsidR="00961704" w:rsidRDefault="002D16E8" w:rsidP="00D64F79">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Without a clear pathway to completion, student often accumulate up to 30 units beyond their degree requirements. </w:t>
      </w:r>
      <w:r w:rsidR="00D64F79">
        <w:rPr>
          <w:rFonts w:ascii="Times New Roman" w:hAnsi="Times New Roman" w:cs="Times New Roman"/>
          <w:sz w:val="24"/>
          <w:szCs w:val="24"/>
        </w:rPr>
        <w:t>The development of meta-majors is a critical piece of the Guided Pathways framework</w:t>
      </w:r>
      <w:r>
        <w:rPr>
          <w:rFonts w:ascii="Times New Roman" w:hAnsi="Times New Roman" w:cs="Times New Roman"/>
          <w:sz w:val="24"/>
          <w:szCs w:val="24"/>
        </w:rPr>
        <w:t xml:space="preserve"> to ensure that students are focused in their academic planning</w:t>
      </w:r>
      <w:r w:rsidR="00D64F79">
        <w:rPr>
          <w:rFonts w:ascii="Times New Roman" w:hAnsi="Times New Roman" w:cs="Times New Roman"/>
          <w:sz w:val="24"/>
          <w:szCs w:val="24"/>
        </w:rPr>
        <w:t xml:space="preserve">. To increase </w:t>
      </w:r>
      <w:r w:rsidR="00961704">
        <w:rPr>
          <w:rFonts w:ascii="Times New Roman" w:hAnsi="Times New Roman" w:cs="Times New Roman"/>
          <w:sz w:val="24"/>
          <w:szCs w:val="24"/>
        </w:rPr>
        <w:t>the clarification of student’s paths, Santa Ana College undertook a data-driven approach in the development of eight Career and Academic Pathways.</w:t>
      </w:r>
      <w:r w:rsidR="000B0C6C">
        <w:rPr>
          <w:rFonts w:ascii="Times New Roman" w:hAnsi="Times New Roman" w:cs="Times New Roman"/>
          <w:sz w:val="24"/>
          <w:szCs w:val="24"/>
        </w:rPr>
        <w:t xml:space="preserve"> Using cluster analysis of the College’s 2</w:t>
      </w:r>
      <w:r w:rsidR="0029519B">
        <w:rPr>
          <w:rFonts w:ascii="Times New Roman" w:hAnsi="Times New Roman" w:cs="Times New Roman"/>
          <w:sz w:val="24"/>
          <w:szCs w:val="24"/>
        </w:rPr>
        <w:t>55</w:t>
      </w:r>
      <w:r w:rsidR="000B0C6C">
        <w:rPr>
          <w:rFonts w:ascii="Times New Roman" w:hAnsi="Times New Roman" w:cs="Times New Roman"/>
          <w:sz w:val="24"/>
          <w:szCs w:val="24"/>
        </w:rPr>
        <w:t xml:space="preserve"> programs</w:t>
      </w:r>
      <w:r w:rsidR="001860C3">
        <w:rPr>
          <w:rFonts w:ascii="Times New Roman" w:hAnsi="Times New Roman" w:cs="Times New Roman"/>
          <w:sz w:val="24"/>
          <w:szCs w:val="24"/>
        </w:rPr>
        <w:t xml:space="preserve">, </w:t>
      </w:r>
      <w:r w:rsidR="0029519B">
        <w:rPr>
          <w:rFonts w:ascii="Times New Roman" w:hAnsi="Times New Roman" w:cs="Times New Roman"/>
          <w:sz w:val="24"/>
          <w:szCs w:val="24"/>
        </w:rPr>
        <w:t>our Guided Pathways team created eight unique Career and Academic Pathways (meta-majors). The development of meta-majors is designed to encourage students to identify their career and academic pathway early and increase the likelihood of</w:t>
      </w:r>
      <w:r w:rsidR="00897BA8">
        <w:rPr>
          <w:rFonts w:ascii="Times New Roman" w:hAnsi="Times New Roman" w:cs="Times New Roman"/>
          <w:sz w:val="24"/>
          <w:szCs w:val="24"/>
        </w:rPr>
        <w:t xml:space="preserve"> </w:t>
      </w:r>
      <w:r w:rsidR="00897BA8">
        <w:rPr>
          <w:rFonts w:ascii="Times New Roman" w:hAnsi="Times New Roman" w:cs="Times New Roman"/>
          <w:sz w:val="24"/>
          <w:szCs w:val="24"/>
        </w:rPr>
        <w:lastRenderedPageBreak/>
        <w:t xml:space="preserve">students </w:t>
      </w:r>
      <w:r w:rsidR="0029519B">
        <w:rPr>
          <w:rFonts w:ascii="Times New Roman" w:hAnsi="Times New Roman" w:cs="Times New Roman"/>
          <w:sz w:val="24"/>
          <w:szCs w:val="24"/>
        </w:rPr>
        <w:t xml:space="preserve">persisting </w:t>
      </w:r>
      <w:r w:rsidR="00897BA8">
        <w:rPr>
          <w:rFonts w:ascii="Times New Roman" w:hAnsi="Times New Roman" w:cs="Times New Roman"/>
          <w:sz w:val="24"/>
          <w:szCs w:val="24"/>
        </w:rPr>
        <w:t>from term to term and increase the number of students who complete the degree of their choice</w:t>
      </w:r>
      <w:r w:rsidR="0029519B">
        <w:rPr>
          <w:rFonts w:ascii="Times New Roman" w:hAnsi="Times New Roman" w:cs="Times New Roman"/>
          <w:sz w:val="24"/>
          <w:szCs w:val="24"/>
        </w:rPr>
        <w:t>.</w:t>
      </w:r>
    </w:p>
    <w:p w:rsidR="00961704" w:rsidRDefault="00961704" w:rsidP="00D64F79">
      <w:pPr>
        <w:spacing w:after="0" w:line="259" w:lineRule="auto"/>
        <w:rPr>
          <w:rFonts w:ascii="Times New Roman" w:hAnsi="Times New Roman" w:cs="Times New Roman"/>
          <w:sz w:val="24"/>
          <w:szCs w:val="24"/>
        </w:rPr>
      </w:pPr>
    </w:p>
    <w:p w:rsidR="00961704" w:rsidRPr="00961704" w:rsidRDefault="00961704" w:rsidP="00961704">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Upon application to Santa Ana College, students are provided with the option of identifying </w:t>
      </w:r>
      <w:r w:rsidR="00D20D19">
        <w:rPr>
          <w:rFonts w:ascii="Times New Roman" w:hAnsi="Times New Roman" w:cs="Times New Roman"/>
          <w:sz w:val="24"/>
          <w:szCs w:val="24"/>
        </w:rPr>
        <w:t>a Career and Academic Pathway that best aligns with their career interests. Based on best practices from other community colleges, the identification of an undecided major often prolongs time to completion of degree</w:t>
      </w:r>
      <w:r w:rsidR="002D16E8">
        <w:rPr>
          <w:rFonts w:ascii="Times New Roman" w:hAnsi="Times New Roman" w:cs="Times New Roman"/>
          <w:sz w:val="24"/>
          <w:szCs w:val="24"/>
        </w:rPr>
        <w:t>. Our</w:t>
      </w:r>
      <w:r w:rsidR="00D20D19">
        <w:rPr>
          <w:rFonts w:ascii="Times New Roman" w:hAnsi="Times New Roman" w:cs="Times New Roman"/>
          <w:sz w:val="24"/>
          <w:szCs w:val="24"/>
        </w:rPr>
        <w:t xml:space="preserve"> Guided Pathways team decided early on to eliminate the undecided major as an option. </w:t>
      </w:r>
    </w:p>
    <w:p w:rsidR="00D64F79" w:rsidRDefault="00D64F79" w:rsidP="00D64F79">
      <w:pPr>
        <w:spacing w:after="0" w:line="259" w:lineRule="auto"/>
        <w:rPr>
          <w:rFonts w:ascii="Times New Roman" w:hAnsi="Times New Roman" w:cs="Times New Roman"/>
          <w:sz w:val="24"/>
          <w:szCs w:val="24"/>
        </w:rPr>
      </w:pPr>
    </w:p>
    <w:p w:rsidR="00D64F79" w:rsidRDefault="00D20D19" w:rsidP="00527754">
      <w:pPr>
        <w:spacing w:after="0" w:line="259" w:lineRule="auto"/>
        <w:ind w:left="187" w:firstLine="0"/>
        <w:rPr>
          <w:rFonts w:ascii="Times New Roman" w:hAnsi="Times New Roman" w:cs="Times New Roman"/>
          <w:sz w:val="24"/>
          <w:szCs w:val="24"/>
        </w:rPr>
      </w:pPr>
      <w:r>
        <w:rPr>
          <w:rFonts w:ascii="Times New Roman" w:hAnsi="Times New Roman" w:cs="Times New Roman"/>
          <w:sz w:val="24"/>
          <w:szCs w:val="24"/>
        </w:rPr>
        <w:t>Santa Ana College’s Career and Academic Pathways were launched in Fall of 2019. Incoming and ongoing students were invited to participate in an introduction to their preferred Career and Academic Pathway during a pre-semester workshop. Evidence shows that students who are able to identify their path sooner will result in a shorter time to completion of degree and increase the likelihood of persistence.</w:t>
      </w:r>
    </w:p>
    <w:p w:rsidR="00F97CE1" w:rsidRDefault="00F97CE1" w:rsidP="00527754">
      <w:pPr>
        <w:spacing w:after="0" w:line="259" w:lineRule="auto"/>
        <w:ind w:left="187" w:firstLine="0"/>
        <w:rPr>
          <w:rFonts w:ascii="Times New Roman" w:hAnsi="Times New Roman" w:cs="Times New Roman"/>
          <w:sz w:val="24"/>
          <w:szCs w:val="24"/>
        </w:rPr>
      </w:pPr>
    </w:p>
    <w:p w:rsidR="00F97CE1" w:rsidRDefault="005A5AE2" w:rsidP="00527754">
      <w:pPr>
        <w:spacing w:after="0" w:line="259" w:lineRule="auto"/>
        <w:ind w:left="187" w:firstLine="0"/>
        <w:rPr>
          <w:rFonts w:ascii="Times New Roman" w:hAnsi="Times New Roman" w:cs="Times New Roman"/>
          <w:sz w:val="24"/>
          <w:szCs w:val="24"/>
        </w:rPr>
      </w:pPr>
      <w:r>
        <w:rPr>
          <w:rFonts w:ascii="Times New Roman" w:hAnsi="Times New Roman" w:cs="Times New Roman"/>
          <w:sz w:val="24"/>
          <w:szCs w:val="24"/>
        </w:rPr>
        <w:t>Based on Fall 2020 Enrollment data</w:t>
      </w:r>
      <w:r w:rsidR="007628FD">
        <w:rPr>
          <w:rFonts w:ascii="Times New Roman" w:hAnsi="Times New Roman" w:cs="Times New Roman"/>
          <w:sz w:val="24"/>
          <w:szCs w:val="24"/>
        </w:rPr>
        <w:t xml:space="preserve"> on entering freshman</w:t>
      </w:r>
      <w:r>
        <w:rPr>
          <w:rFonts w:ascii="Times New Roman" w:hAnsi="Times New Roman" w:cs="Times New Roman"/>
          <w:sz w:val="24"/>
          <w:szCs w:val="24"/>
        </w:rPr>
        <w:t>, our</w:t>
      </w:r>
      <w:r w:rsidR="00F97CE1">
        <w:rPr>
          <w:rFonts w:ascii="Times New Roman" w:hAnsi="Times New Roman" w:cs="Times New Roman"/>
          <w:sz w:val="24"/>
          <w:szCs w:val="24"/>
        </w:rPr>
        <w:t xml:space="preserve"> Career and Academic Pathways include:</w:t>
      </w:r>
    </w:p>
    <w:p w:rsidR="004545D9" w:rsidRDefault="004545D9" w:rsidP="00527754">
      <w:pPr>
        <w:spacing w:after="0" w:line="259" w:lineRule="auto"/>
        <w:ind w:left="187" w:firstLine="0"/>
        <w:rPr>
          <w:rFonts w:ascii="Times New Roman" w:hAnsi="Times New Roman" w:cs="Times New Roman"/>
          <w:sz w:val="24"/>
          <w:szCs w:val="24"/>
        </w:rPr>
      </w:pPr>
    </w:p>
    <w:tbl>
      <w:tblPr>
        <w:tblStyle w:val="TableGrid"/>
        <w:tblW w:w="0" w:type="auto"/>
        <w:tblInd w:w="187" w:type="dxa"/>
        <w:tblLook w:val="04A0" w:firstRow="1" w:lastRow="0" w:firstColumn="1" w:lastColumn="0" w:noHBand="0" w:noVBand="1"/>
      </w:tblPr>
      <w:tblGrid>
        <w:gridCol w:w="6368"/>
        <w:gridCol w:w="1387"/>
        <w:gridCol w:w="1388"/>
      </w:tblGrid>
      <w:tr w:rsidR="004545D9" w:rsidTr="004545D9">
        <w:tc>
          <w:tcPr>
            <w:tcW w:w="6368" w:type="dxa"/>
            <w:tcBorders>
              <w:top w:val="double" w:sz="4" w:space="0" w:color="auto"/>
              <w:left w:val="double" w:sz="4" w:space="0" w:color="auto"/>
              <w:bottom w:val="double" w:sz="4" w:space="0" w:color="auto"/>
              <w:right w:val="double" w:sz="4" w:space="0" w:color="auto"/>
            </w:tcBorders>
          </w:tcPr>
          <w:p w:rsidR="004545D9" w:rsidRPr="004545D9" w:rsidRDefault="004545D9" w:rsidP="004545D9">
            <w:pPr>
              <w:spacing w:after="0" w:line="259" w:lineRule="auto"/>
              <w:ind w:left="0" w:firstLine="0"/>
              <w:jc w:val="center"/>
              <w:rPr>
                <w:rFonts w:ascii="Times New Roman" w:hAnsi="Times New Roman" w:cs="Times New Roman"/>
                <w:b/>
                <w:sz w:val="24"/>
                <w:szCs w:val="24"/>
              </w:rPr>
            </w:pPr>
            <w:r w:rsidRPr="004545D9">
              <w:rPr>
                <w:rFonts w:ascii="Times New Roman" w:hAnsi="Times New Roman" w:cs="Times New Roman"/>
                <w:b/>
                <w:sz w:val="24"/>
                <w:szCs w:val="24"/>
              </w:rPr>
              <w:t>Career &amp; Academic Pathway</w:t>
            </w:r>
          </w:p>
        </w:tc>
        <w:tc>
          <w:tcPr>
            <w:tcW w:w="1387" w:type="dxa"/>
            <w:tcBorders>
              <w:top w:val="double" w:sz="4" w:space="0" w:color="auto"/>
              <w:left w:val="double" w:sz="4" w:space="0" w:color="auto"/>
              <w:bottom w:val="double" w:sz="4" w:space="0" w:color="auto"/>
              <w:right w:val="double" w:sz="4" w:space="0" w:color="auto"/>
            </w:tcBorders>
          </w:tcPr>
          <w:p w:rsidR="004545D9" w:rsidRPr="004545D9" w:rsidRDefault="004545D9" w:rsidP="004545D9">
            <w:pPr>
              <w:spacing w:after="0" w:line="259" w:lineRule="auto"/>
              <w:ind w:left="0" w:firstLine="0"/>
              <w:jc w:val="center"/>
              <w:rPr>
                <w:rFonts w:ascii="Times New Roman" w:hAnsi="Times New Roman" w:cs="Times New Roman"/>
                <w:b/>
                <w:sz w:val="24"/>
                <w:szCs w:val="24"/>
              </w:rPr>
            </w:pPr>
            <w:r w:rsidRPr="004545D9">
              <w:rPr>
                <w:rFonts w:ascii="Times New Roman" w:hAnsi="Times New Roman" w:cs="Times New Roman"/>
                <w:b/>
                <w:sz w:val="24"/>
                <w:szCs w:val="24"/>
              </w:rPr>
              <w:t>Number of Programs</w:t>
            </w:r>
          </w:p>
        </w:tc>
        <w:tc>
          <w:tcPr>
            <w:tcW w:w="1388" w:type="dxa"/>
            <w:tcBorders>
              <w:top w:val="double" w:sz="4" w:space="0" w:color="auto"/>
              <w:left w:val="double" w:sz="4" w:space="0" w:color="auto"/>
              <w:bottom w:val="double" w:sz="4" w:space="0" w:color="auto"/>
              <w:right w:val="double" w:sz="4" w:space="0" w:color="auto"/>
            </w:tcBorders>
          </w:tcPr>
          <w:p w:rsidR="004545D9" w:rsidRPr="004545D9" w:rsidRDefault="004545D9" w:rsidP="004545D9">
            <w:pPr>
              <w:spacing w:after="0" w:line="259" w:lineRule="auto"/>
              <w:ind w:left="0" w:firstLine="0"/>
              <w:jc w:val="center"/>
              <w:rPr>
                <w:rFonts w:ascii="Times New Roman" w:hAnsi="Times New Roman" w:cs="Times New Roman"/>
                <w:b/>
                <w:sz w:val="24"/>
                <w:szCs w:val="24"/>
              </w:rPr>
            </w:pPr>
            <w:r w:rsidRPr="004545D9">
              <w:rPr>
                <w:rFonts w:ascii="Times New Roman" w:hAnsi="Times New Roman" w:cs="Times New Roman"/>
                <w:b/>
                <w:sz w:val="24"/>
                <w:szCs w:val="24"/>
              </w:rPr>
              <w:t>Number of Students</w:t>
            </w:r>
            <w:r w:rsidR="007628FD">
              <w:rPr>
                <w:rFonts w:ascii="Times New Roman" w:hAnsi="Times New Roman" w:cs="Times New Roman"/>
                <w:b/>
                <w:sz w:val="24"/>
                <w:szCs w:val="24"/>
              </w:rPr>
              <w:t xml:space="preserve"> (entering freshman)</w:t>
            </w:r>
          </w:p>
        </w:tc>
      </w:tr>
      <w:tr w:rsidR="004545D9" w:rsidTr="004545D9">
        <w:tc>
          <w:tcPr>
            <w:tcW w:w="6368" w:type="dxa"/>
            <w:tcBorders>
              <w:top w:val="double" w:sz="4" w:space="0" w:color="auto"/>
            </w:tcBorders>
          </w:tcPr>
          <w:p w:rsidR="004545D9" w:rsidRDefault="004545D9" w:rsidP="00527754">
            <w:pPr>
              <w:spacing w:after="0" w:line="259" w:lineRule="auto"/>
              <w:ind w:left="0" w:firstLine="0"/>
              <w:rPr>
                <w:rFonts w:ascii="Times New Roman" w:hAnsi="Times New Roman" w:cs="Times New Roman"/>
                <w:sz w:val="24"/>
                <w:szCs w:val="24"/>
              </w:rPr>
            </w:pPr>
            <w:r w:rsidRPr="004545D9">
              <w:rPr>
                <w:rFonts w:ascii="Times New Roman" w:hAnsi="Times New Roman" w:cs="Times New Roman"/>
                <w:b/>
                <w:sz w:val="24"/>
                <w:szCs w:val="24"/>
              </w:rPr>
              <w:t>Design, Make &amp; Move</w:t>
            </w:r>
            <w:r w:rsidRPr="00F97CE1">
              <w:rPr>
                <w:rFonts w:ascii="Times New Roman" w:hAnsi="Times New Roman" w:cs="Times New Roman"/>
                <w:sz w:val="24"/>
                <w:szCs w:val="24"/>
              </w:rPr>
              <w:t xml:space="preserve"> (automotive, manufacturing &amp; engineering tech</w:t>
            </w:r>
            <w:r>
              <w:rPr>
                <w:rFonts w:ascii="Times New Roman" w:hAnsi="Times New Roman" w:cs="Times New Roman"/>
                <w:sz w:val="24"/>
                <w:szCs w:val="24"/>
              </w:rPr>
              <w:t>nology</w:t>
            </w:r>
            <w:r w:rsidRPr="00F97CE1">
              <w:rPr>
                <w:rFonts w:ascii="Times New Roman" w:hAnsi="Times New Roman" w:cs="Times New Roman"/>
                <w:sz w:val="24"/>
                <w:szCs w:val="24"/>
              </w:rPr>
              <w:t>)</w:t>
            </w:r>
          </w:p>
        </w:tc>
        <w:tc>
          <w:tcPr>
            <w:tcW w:w="1387" w:type="dxa"/>
            <w:tcBorders>
              <w:top w:val="double" w:sz="4" w:space="0" w:color="auto"/>
            </w:tcBorders>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44</w:t>
            </w:r>
          </w:p>
        </w:tc>
        <w:tc>
          <w:tcPr>
            <w:tcW w:w="1388" w:type="dxa"/>
            <w:tcBorders>
              <w:top w:val="double" w:sz="4" w:space="0" w:color="auto"/>
            </w:tcBorders>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190</w:t>
            </w:r>
          </w:p>
        </w:tc>
      </w:tr>
      <w:tr w:rsidR="004545D9" w:rsidTr="004545D9">
        <w:tc>
          <w:tcPr>
            <w:tcW w:w="6368" w:type="dxa"/>
          </w:tcPr>
          <w:p w:rsidR="004545D9" w:rsidRDefault="004545D9" w:rsidP="00527754">
            <w:pPr>
              <w:spacing w:after="0" w:line="259" w:lineRule="auto"/>
              <w:ind w:left="0" w:firstLine="0"/>
              <w:rPr>
                <w:rFonts w:ascii="Times New Roman" w:hAnsi="Times New Roman" w:cs="Times New Roman"/>
                <w:sz w:val="24"/>
                <w:szCs w:val="24"/>
              </w:rPr>
            </w:pPr>
            <w:r w:rsidRPr="004545D9">
              <w:rPr>
                <w:rFonts w:ascii="Times New Roman" w:hAnsi="Times New Roman" w:cs="Times New Roman"/>
                <w:b/>
                <w:sz w:val="24"/>
                <w:szCs w:val="24"/>
              </w:rPr>
              <w:t>Creating our World</w:t>
            </w:r>
            <w:r>
              <w:rPr>
                <w:rFonts w:ascii="Times New Roman" w:hAnsi="Times New Roman" w:cs="Times New Roman"/>
                <w:sz w:val="24"/>
                <w:szCs w:val="24"/>
              </w:rPr>
              <w:t xml:space="preserve"> (art, media &amp; performance)</w:t>
            </w:r>
          </w:p>
        </w:tc>
        <w:tc>
          <w:tcPr>
            <w:tcW w:w="1387"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41</w:t>
            </w:r>
          </w:p>
        </w:tc>
        <w:tc>
          <w:tcPr>
            <w:tcW w:w="1388"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198</w:t>
            </w:r>
          </w:p>
        </w:tc>
      </w:tr>
      <w:tr w:rsidR="004545D9" w:rsidTr="004545D9">
        <w:tc>
          <w:tcPr>
            <w:tcW w:w="6368" w:type="dxa"/>
          </w:tcPr>
          <w:p w:rsidR="004545D9" w:rsidRDefault="004545D9" w:rsidP="00527754">
            <w:pPr>
              <w:spacing w:after="0" w:line="259" w:lineRule="auto"/>
              <w:ind w:left="0" w:firstLine="0"/>
              <w:rPr>
                <w:rFonts w:ascii="Times New Roman" w:hAnsi="Times New Roman" w:cs="Times New Roman"/>
                <w:sz w:val="24"/>
                <w:szCs w:val="24"/>
              </w:rPr>
            </w:pPr>
            <w:r w:rsidRPr="004545D9">
              <w:rPr>
                <w:rFonts w:ascii="Times New Roman" w:hAnsi="Times New Roman" w:cs="Times New Roman"/>
                <w:b/>
                <w:sz w:val="24"/>
                <w:szCs w:val="24"/>
              </w:rPr>
              <w:t>Money Matters</w:t>
            </w:r>
            <w:r w:rsidRPr="00F97CE1">
              <w:rPr>
                <w:rFonts w:ascii="Times New Roman" w:hAnsi="Times New Roman" w:cs="Times New Roman"/>
                <w:sz w:val="24"/>
                <w:szCs w:val="24"/>
              </w:rPr>
              <w:t xml:space="preserve"> (business &amp; paralegal)</w:t>
            </w:r>
          </w:p>
        </w:tc>
        <w:tc>
          <w:tcPr>
            <w:tcW w:w="1387"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37</w:t>
            </w:r>
          </w:p>
        </w:tc>
        <w:tc>
          <w:tcPr>
            <w:tcW w:w="1388"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353</w:t>
            </w:r>
          </w:p>
        </w:tc>
      </w:tr>
      <w:tr w:rsidR="004545D9" w:rsidTr="004545D9">
        <w:tc>
          <w:tcPr>
            <w:tcW w:w="6368" w:type="dxa"/>
          </w:tcPr>
          <w:p w:rsidR="004545D9" w:rsidRDefault="004545D9" w:rsidP="00527754">
            <w:pPr>
              <w:spacing w:after="0" w:line="259" w:lineRule="auto"/>
              <w:ind w:left="0" w:firstLine="0"/>
              <w:rPr>
                <w:rFonts w:ascii="Times New Roman" w:hAnsi="Times New Roman" w:cs="Times New Roman"/>
                <w:sz w:val="24"/>
                <w:szCs w:val="24"/>
              </w:rPr>
            </w:pPr>
            <w:r w:rsidRPr="004545D9">
              <w:rPr>
                <w:rFonts w:ascii="Times New Roman" w:hAnsi="Times New Roman" w:cs="Times New Roman"/>
                <w:b/>
                <w:sz w:val="24"/>
                <w:szCs w:val="24"/>
              </w:rPr>
              <w:t>STEM</w:t>
            </w:r>
            <w:r w:rsidRPr="00F97CE1">
              <w:rPr>
                <w:rFonts w:ascii="Times New Roman" w:hAnsi="Times New Roman" w:cs="Times New Roman"/>
                <w:sz w:val="24"/>
                <w:szCs w:val="24"/>
              </w:rPr>
              <w:t xml:space="preserve"> (computers, math &amp; science)</w:t>
            </w:r>
          </w:p>
        </w:tc>
        <w:tc>
          <w:tcPr>
            <w:tcW w:w="1387"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29</w:t>
            </w:r>
          </w:p>
        </w:tc>
        <w:tc>
          <w:tcPr>
            <w:tcW w:w="1388"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297</w:t>
            </w:r>
          </w:p>
        </w:tc>
      </w:tr>
      <w:tr w:rsidR="004545D9" w:rsidTr="004545D9">
        <w:tc>
          <w:tcPr>
            <w:tcW w:w="6368" w:type="dxa"/>
          </w:tcPr>
          <w:p w:rsidR="004545D9" w:rsidRDefault="004545D9" w:rsidP="00527754">
            <w:pPr>
              <w:spacing w:after="0" w:line="259" w:lineRule="auto"/>
              <w:ind w:left="0" w:firstLine="0"/>
              <w:rPr>
                <w:rFonts w:ascii="Times New Roman" w:hAnsi="Times New Roman" w:cs="Times New Roman"/>
                <w:sz w:val="24"/>
                <w:szCs w:val="24"/>
              </w:rPr>
            </w:pPr>
            <w:r w:rsidRPr="004545D9">
              <w:rPr>
                <w:rFonts w:ascii="Times New Roman" w:hAnsi="Times New Roman" w:cs="Times New Roman"/>
                <w:b/>
                <w:sz w:val="24"/>
                <w:szCs w:val="24"/>
              </w:rPr>
              <w:t>People, Ideas, and Culture</w:t>
            </w:r>
            <w:r w:rsidRPr="00F97CE1">
              <w:rPr>
                <w:rFonts w:ascii="Times New Roman" w:hAnsi="Times New Roman" w:cs="Times New Roman"/>
                <w:sz w:val="24"/>
                <w:szCs w:val="24"/>
              </w:rPr>
              <w:t xml:space="preserve"> (humanities, social sciences &amp; languages)</w:t>
            </w:r>
          </w:p>
        </w:tc>
        <w:tc>
          <w:tcPr>
            <w:tcW w:w="1387"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26</w:t>
            </w:r>
          </w:p>
        </w:tc>
        <w:tc>
          <w:tcPr>
            <w:tcW w:w="1388"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397</w:t>
            </w:r>
          </w:p>
        </w:tc>
      </w:tr>
      <w:tr w:rsidR="004545D9" w:rsidTr="004545D9">
        <w:tc>
          <w:tcPr>
            <w:tcW w:w="6368" w:type="dxa"/>
          </w:tcPr>
          <w:p w:rsidR="004545D9" w:rsidRDefault="004545D9" w:rsidP="00527754">
            <w:pPr>
              <w:spacing w:after="0" w:line="259" w:lineRule="auto"/>
              <w:ind w:left="0" w:firstLine="0"/>
              <w:rPr>
                <w:rFonts w:ascii="Times New Roman" w:hAnsi="Times New Roman" w:cs="Times New Roman"/>
                <w:sz w:val="24"/>
                <w:szCs w:val="24"/>
              </w:rPr>
            </w:pPr>
            <w:r w:rsidRPr="004545D9">
              <w:rPr>
                <w:rFonts w:ascii="Times New Roman" w:hAnsi="Times New Roman" w:cs="Times New Roman"/>
                <w:b/>
                <w:sz w:val="24"/>
                <w:szCs w:val="24"/>
              </w:rPr>
              <w:t>Helping Others</w:t>
            </w:r>
            <w:r w:rsidRPr="00F97CE1">
              <w:rPr>
                <w:rFonts w:ascii="Times New Roman" w:hAnsi="Times New Roman" w:cs="Times New Roman"/>
                <w:sz w:val="24"/>
                <w:szCs w:val="24"/>
              </w:rPr>
              <w:t xml:space="preserve"> (public health &amp; safety services)</w:t>
            </w:r>
          </w:p>
        </w:tc>
        <w:tc>
          <w:tcPr>
            <w:tcW w:w="1387"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24</w:t>
            </w:r>
          </w:p>
        </w:tc>
        <w:tc>
          <w:tcPr>
            <w:tcW w:w="1388"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1107</w:t>
            </w:r>
          </w:p>
        </w:tc>
      </w:tr>
      <w:tr w:rsidR="004545D9" w:rsidTr="004545D9">
        <w:tc>
          <w:tcPr>
            <w:tcW w:w="6368" w:type="dxa"/>
          </w:tcPr>
          <w:p w:rsidR="004545D9" w:rsidRDefault="004545D9" w:rsidP="00527754">
            <w:pPr>
              <w:spacing w:after="0" w:line="259" w:lineRule="auto"/>
              <w:ind w:left="0" w:firstLine="0"/>
              <w:rPr>
                <w:rFonts w:ascii="Times New Roman" w:hAnsi="Times New Roman" w:cs="Times New Roman"/>
                <w:sz w:val="24"/>
                <w:szCs w:val="24"/>
              </w:rPr>
            </w:pPr>
            <w:r w:rsidRPr="004545D9">
              <w:rPr>
                <w:rFonts w:ascii="Times New Roman" w:hAnsi="Times New Roman" w:cs="Times New Roman"/>
                <w:b/>
                <w:sz w:val="24"/>
                <w:szCs w:val="24"/>
              </w:rPr>
              <w:t>Future Educators</w:t>
            </w:r>
            <w:r w:rsidRPr="00F97CE1">
              <w:rPr>
                <w:rFonts w:ascii="Times New Roman" w:hAnsi="Times New Roman" w:cs="Times New Roman"/>
                <w:sz w:val="24"/>
                <w:szCs w:val="24"/>
              </w:rPr>
              <w:t xml:space="preserve"> (child development, teaching &amp; library technology)</w:t>
            </w:r>
          </w:p>
        </w:tc>
        <w:tc>
          <w:tcPr>
            <w:tcW w:w="1387"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16</w:t>
            </w:r>
          </w:p>
        </w:tc>
        <w:tc>
          <w:tcPr>
            <w:tcW w:w="1388"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186</w:t>
            </w:r>
          </w:p>
        </w:tc>
      </w:tr>
      <w:tr w:rsidR="004545D9" w:rsidTr="004545D9">
        <w:tc>
          <w:tcPr>
            <w:tcW w:w="6368" w:type="dxa"/>
          </w:tcPr>
          <w:p w:rsidR="004545D9" w:rsidRDefault="004545D9" w:rsidP="00527754">
            <w:pPr>
              <w:spacing w:after="0" w:line="259" w:lineRule="auto"/>
              <w:ind w:left="0" w:firstLine="0"/>
              <w:rPr>
                <w:rFonts w:ascii="Times New Roman" w:hAnsi="Times New Roman" w:cs="Times New Roman"/>
                <w:sz w:val="24"/>
                <w:szCs w:val="24"/>
              </w:rPr>
            </w:pPr>
            <w:r w:rsidRPr="004545D9">
              <w:rPr>
                <w:rFonts w:ascii="Times New Roman" w:hAnsi="Times New Roman" w:cs="Times New Roman"/>
                <w:b/>
                <w:sz w:val="24"/>
                <w:szCs w:val="24"/>
              </w:rPr>
              <w:t>Building Bridges</w:t>
            </w:r>
            <w:r w:rsidRPr="00F97CE1">
              <w:rPr>
                <w:rFonts w:ascii="Times New Roman" w:hAnsi="Times New Roman" w:cs="Times New Roman"/>
                <w:sz w:val="24"/>
                <w:szCs w:val="24"/>
              </w:rPr>
              <w:t xml:space="preserve"> (continuing education)</w:t>
            </w:r>
          </w:p>
        </w:tc>
        <w:tc>
          <w:tcPr>
            <w:tcW w:w="1387" w:type="dxa"/>
          </w:tcPr>
          <w:p w:rsidR="004545D9" w:rsidRDefault="004545D9"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388" w:type="dxa"/>
          </w:tcPr>
          <w:p w:rsidR="004545D9" w:rsidRDefault="00760EE6" w:rsidP="004545D9">
            <w:pPr>
              <w:spacing w:after="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w:t>
            </w:r>
            <w:r w:rsidR="004A439F">
              <w:rPr>
                <w:rFonts w:ascii="Times New Roman" w:hAnsi="Times New Roman" w:cs="Times New Roman"/>
                <w:sz w:val="24"/>
                <w:szCs w:val="24"/>
              </w:rPr>
              <w:t>?</w:t>
            </w:r>
          </w:p>
        </w:tc>
      </w:tr>
    </w:tbl>
    <w:p w:rsidR="004545D9" w:rsidRDefault="004545D9" w:rsidP="00527754">
      <w:pPr>
        <w:spacing w:after="0" w:line="259" w:lineRule="auto"/>
        <w:ind w:left="187" w:firstLine="0"/>
        <w:rPr>
          <w:rFonts w:ascii="Times New Roman" w:hAnsi="Times New Roman" w:cs="Times New Roman"/>
          <w:sz w:val="24"/>
          <w:szCs w:val="24"/>
        </w:rPr>
      </w:pPr>
    </w:p>
    <w:p w:rsidR="007628FD" w:rsidRDefault="007628FD" w:rsidP="007628FD">
      <w:pPr>
        <w:spacing w:after="0" w:line="259" w:lineRule="auto"/>
        <w:rPr>
          <w:rFonts w:ascii="Times New Roman" w:hAnsi="Times New Roman" w:cs="Times New Roman"/>
          <w:sz w:val="24"/>
          <w:szCs w:val="24"/>
        </w:rPr>
      </w:pPr>
      <w:r>
        <w:rPr>
          <w:rFonts w:ascii="Times New Roman" w:hAnsi="Times New Roman" w:cs="Times New Roman"/>
          <w:sz w:val="24"/>
          <w:szCs w:val="24"/>
        </w:rPr>
        <w:t>Although support services are available throughout our college, the concept of bringing support personnel to form a team providing wrap-around services has been shown to increase student persistence. To this end, our college formed Success Teams for each of our eight Career and Academic Pathways. Each Success Team consists of a coordinator, faculty lead, counselor, and career coach. Currently, each success team has been tasked with three goals: 1) ensuring that Pell-grant recipients are receiving their financial aid and have completed the FAFSA/ Dream Act applications, 2) ensuring that all students have an electronic education plan, and 3) ensuring that all students are in the right major by participating in career exploration activities.</w:t>
      </w:r>
    </w:p>
    <w:p w:rsidR="007628FD" w:rsidRDefault="007628FD" w:rsidP="007628FD">
      <w:pPr>
        <w:spacing w:after="0" w:line="259" w:lineRule="auto"/>
        <w:rPr>
          <w:rFonts w:ascii="Times New Roman" w:hAnsi="Times New Roman" w:cs="Times New Roman"/>
          <w:sz w:val="24"/>
          <w:szCs w:val="24"/>
        </w:rPr>
      </w:pPr>
    </w:p>
    <w:p w:rsidR="007628FD" w:rsidRDefault="007628FD" w:rsidP="007628FD">
      <w:pPr>
        <w:spacing w:after="0" w:line="259" w:lineRule="auto"/>
        <w:rPr>
          <w:rFonts w:ascii="Times New Roman" w:hAnsi="Times New Roman" w:cs="Times New Roman"/>
          <w:sz w:val="24"/>
          <w:szCs w:val="24"/>
        </w:rPr>
      </w:pPr>
      <w:r>
        <w:rPr>
          <w:rFonts w:ascii="Times New Roman" w:hAnsi="Times New Roman" w:cs="Times New Roman"/>
          <w:sz w:val="24"/>
          <w:szCs w:val="24"/>
        </w:rPr>
        <w:t>In addition to the three main goals outline</w:t>
      </w:r>
      <w:r w:rsidR="00C942ED">
        <w:rPr>
          <w:rFonts w:ascii="Times New Roman" w:hAnsi="Times New Roman" w:cs="Times New Roman"/>
          <w:sz w:val="24"/>
          <w:szCs w:val="24"/>
        </w:rPr>
        <w:t>d</w:t>
      </w:r>
      <w:r>
        <w:rPr>
          <w:rFonts w:ascii="Times New Roman" w:hAnsi="Times New Roman" w:cs="Times New Roman"/>
          <w:sz w:val="24"/>
          <w:szCs w:val="24"/>
        </w:rPr>
        <w:t xml:space="preserve"> above, Success Teams will also work with the college career center to identify “near c</w:t>
      </w:r>
      <w:r w:rsidRPr="00695E63">
        <w:rPr>
          <w:rFonts w:ascii="Times New Roman" w:hAnsi="Times New Roman" w:cs="Times New Roman"/>
          <w:sz w:val="24"/>
          <w:szCs w:val="24"/>
        </w:rPr>
        <w:t>ompleters</w:t>
      </w:r>
      <w:r>
        <w:rPr>
          <w:rFonts w:ascii="Times New Roman" w:hAnsi="Times New Roman" w:cs="Times New Roman"/>
          <w:sz w:val="24"/>
          <w:szCs w:val="24"/>
        </w:rPr>
        <w:t>”</w:t>
      </w:r>
      <w:r w:rsidRPr="00695E63">
        <w:rPr>
          <w:rFonts w:ascii="Times New Roman" w:hAnsi="Times New Roman" w:cs="Times New Roman"/>
          <w:sz w:val="24"/>
          <w:szCs w:val="24"/>
        </w:rPr>
        <w:t xml:space="preserve"> </w:t>
      </w:r>
      <w:r>
        <w:rPr>
          <w:rFonts w:ascii="Times New Roman" w:hAnsi="Times New Roman" w:cs="Times New Roman"/>
          <w:sz w:val="24"/>
          <w:szCs w:val="24"/>
        </w:rPr>
        <w:t>(students who have completed 80% of a CTE certificate) and encourage them to return to complete their certificate</w:t>
      </w:r>
      <w:r w:rsidR="00D12A27">
        <w:rPr>
          <w:rFonts w:ascii="Times New Roman" w:hAnsi="Times New Roman" w:cs="Times New Roman"/>
          <w:sz w:val="24"/>
          <w:szCs w:val="24"/>
        </w:rPr>
        <w:t>.</w:t>
      </w:r>
      <w:r>
        <w:rPr>
          <w:rFonts w:ascii="Times New Roman" w:hAnsi="Times New Roman" w:cs="Times New Roman"/>
          <w:sz w:val="24"/>
          <w:szCs w:val="24"/>
        </w:rPr>
        <w:t xml:space="preserve"> </w:t>
      </w:r>
      <w:r w:rsidR="00D12A27">
        <w:rPr>
          <w:rFonts w:ascii="Times New Roman" w:hAnsi="Times New Roman" w:cs="Times New Roman"/>
          <w:sz w:val="24"/>
          <w:szCs w:val="24"/>
        </w:rPr>
        <w:t>The Success Teams’ presence from the start of a student’s academic journey creates a</w:t>
      </w:r>
      <w:r>
        <w:rPr>
          <w:rFonts w:ascii="Times New Roman" w:hAnsi="Times New Roman" w:cs="Times New Roman"/>
          <w:sz w:val="24"/>
          <w:szCs w:val="24"/>
        </w:rPr>
        <w:t xml:space="preserve"> support structure to ensure that incoming freshman enroll in and complete a transfer-level math and English class in their first year</w:t>
      </w:r>
      <w:r w:rsidR="00D12A27">
        <w:rPr>
          <w:rFonts w:ascii="Times New Roman" w:hAnsi="Times New Roman" w:cs="Times New Roman"/>
          <w:sz w:val="24"/>
          <w:szCs w:val="24"/>
        </w:rPr>
        <w:t>, thought follow-up, check-ins and nudges using our new Starfish tracking tool</w:t>
      </w:r>
      <w:r>
        <w:rPr>
          <w:rFonts w:ascii="Times New Roman" w:hAnsi="Times New Roman" w:cs="Times New Roman"/>
          <w:sz w:val="24"/>
          <w:szCs w:val="24"/>
        </w:rPr>
        <w:t>.</w:t>
      </w:r>
    </w:p>
    <w:p w:rsidR="007628FD" w:rsidRDefault="007628FD" w:rsidP="007628FD">
      <w:pPr>
        <w:spacing w:after="0" w:line="259" w:lineRule="auto"/>
        <w:rPr>
          <w:rFonts w:ascii="Times New Roman" w:hAnsi="Times New Roman" w:cs="Times New Roman"/>
          <w:sz w:val="24"/>
          <w:szCs w:val="24"/>
        </w:rPr>
      </w:pPr>
    </w:p>
    <w:p w:rsidR="007628FD" w:rsidRDefault="007628FD" w:rsidP="007628FD">
      <w:pPr>
        <w:spacing w:after="0" w:line="259" w:lineRule="auto"/>
        <w:rPr>
          <w:rFonts w:ascii="Times New Roman" w:hAnsi="Times New Roman" w:cs="Times New Roman"/>
          <w:sz w:val="24"/>
          <w:szCs w:val="24"/>
        </w:rPr>
      </w:pPr>
      <w:r>
        <w:rPr>
          <w:rFonts w:ascii="Times New Roman" w:hAnsi="Times New Roman" w:cs="Times New Roman"/>
          <w:sz w:val="24"/>
          <w:szCs w:val="24"/>
        </w:rPr>
        <w:t>Considering that Success Teams were launched in Fall 2020, it is intended that the college will be gathering data on in order to track the success of the goals in increasing persistence, accelerating completion of transfer-level math and English courses, decrease unit accumulation, increase degree/certificate completion, and transfer to a CSU or UC.</w:t>
      </w:r>
    </w:p>
    <w:p w:rsidR="007628FD" w:rsidRDefault="007628FD" w:rsidP="007628FD">
      <w:pPr>
        <w:spacing w:after="0" w:line="259" w:lineRule="auto"/>
        <w:rPr>
          <w:rFonts w:ascii="Times New Roman" w:hAnsi="Times New Roman" w:cs="Times New Roman"/>
          <w:sz w:val="24"/>
          <w:szCs w:val="24"/>
        </w:rPr>
      </w:pPr>
    </w:p>
    <w:p w:rsidR="007628FD" w:rsidRDefault="007628FD" w:rsidP="007628FD">
      <w:pPr>
        <w:spacing w:after="0" w:line="259" w:lineRule="auto"/>
        <w:rPr>
          <w:rFonts w:ascii="Times New Roman" w:hAnsi="Times New Roman" w:cs="Times New Roman"/>
          <w:sz w:val="24"/>
          <w:szCs w:val="24"/>
        </w:rPr>
      </w:pPr>
      <w:r>
        <w:rPr>
          <w:rFonts w:ascii="Times New Roman" w:hAnsi="Times New Roman" w:cs="Times New Roman"/>
          <w:sz w:val="24"/>
          <w:szCs w:val="24"/>
        </w:rPr>
        <w:t>Although data was gathered for student completion rates of transfer-level math and English classes in their first year, and number of units enrolled, these data will serve as a baseline for comparison to subsequent semesters.</w:t>
      </w:r>
    </w:p>
    <w:p w:rsidR="007628FD" w:rsidRDefault="007628FD" w:rsidP="007628FD">
      <w:pPr>
        <w:spacing w:after="0" w:line="259" w:lineRule="auto"/>
        <w:rPr>
          <w:rFonts w:ascii="Times New Roman" w:hAnsi="Times New Roman" w:cs="Times New Roman"/>
          <w:sz w:val="24"/>
          <w:szCs w:val="24"/>
        </w:rPr>
      </w:pPr>
    </w:p>
    <w:tbl>
      <w:tblPr>
        <w:tblStyle w:val="TableGrid"/>
        <w:tblW w:w="0" w:type="auto"/>
        <w:tblInd w:w="196" w:type="dxa"/>
        <w:tblLook w:val="04A0" w:firstRow="1" w:lastRow="0" w:firstColumn="1" w:lastColumn="0" w:noHBand="0" w:noVBand="1"/>
      </w:tblPr>
      <w:tblGrid>
        <w:gridCol w:w="2283"/>
        <w:gridCol w:w="2290"/>
        <w:gridCol w:w="2286"/>
        <w:gridCol w:w="2275"/>
      </w:tblGrid>
      <w:tr w:rsidR="003860B8" w:rsidTr="00897BA8">
        <w:tc>
          <w:tcPr>
            <w:tcW w:w="2337" w:type="dxa"/>
            <w:tcBorders>
              <w:top w:val="double" w:sz="4" w:space="0" w:color="auto"/>
              <w:left w:val="double" w:sz="4" w:space="0" w:color="auto"/>
              <w:bottom w:val="double" w:sz="4" w:space="0" w:color="auto"/>
              <w:right w:val="double" w:sz="4" w:space="0" w:color="auto"/>
            </w:tcBorders>
          </w:tcPr>
          <w:p w:rsidR="00897BA8" w:rsidRDefault="00897BA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Activity</w:t>
            </w:r>
          </w:p>
        </w:tc>
        <w:tc>
          <w:tcPr>
            <w:tcW w:w="2337" w:type="dxa"/>
            <w:tcBorders>
              <w:top w:val="double" w:sz="4" w:space="0" w:color="auto"/>
              <w:left w:val="double" w:sz="4" w:space="0" w:color="auto"/>
              <w:bottom w:val="double" w:sz="4" w:space="0" w:color="auto"/>
              <w:right w:val="double" w:sz="4" w:space="0" w:color="auto"/>
            </w:tcBorders>
          </w:tcPr>
          <w:p w:rsidR="00897BA8" w:rsidRDefault="00897BA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Responsible Party</w:t>
            </w:r>
          </w:p>
        </w:tc>
        <w:tc>
          <w:tcPr>
            <w:tcW w:w="2338" w:type="dxa"/>
            <w:tcBorders>
              <w:top w:val="double" w:sz="4" w:space="0" w:color="auto"/>
              <w:left w:val="double" w:sz="4" w:space="0" w:color="auto"/>
              <w:bottom w:val="double" w:sz="4" w:space="0" w:color="auto"/>
              <w:right w:val="double" w:sz="4" w:space="0" w:color="auto"/>
            </w:tcBorders>
          </w:tcPr>
          <w:p w:rsidR="00897BA8" w:rsidRDefault="00897BA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Resources</w:t>
            </w:r>
          </w:p>
        </w:tc>
        <w:tc>
          <w:tcPr>
            <w:tcW w:w="2338" w:type="dxa"/>
            <w:tcBorders>
              <w:top w:val="double" w:sz="4" w:space="0" w:color="auto"/>
              <w:left w:val="double" w:sz="4" w:space="0" w:color="auto"/>
              <w:bottom w:val="double" w:sz="4" w:space="0" w:color="auto"/>
              <w:right w:val="double" w:sz="4" w:space="0" w:color="auto"/>
            </w:tcBorders>
          </w:tcPr>
          <w:p w:rsidR="00897BA8" w:rsidRDefault="00897BA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Timeline</w:t>
            </w:r>
          </w:p>
        </w:tc>
      </w:tr>
      <w:tr w:rsidR="003860B8" w:rsidTr="00897BA8">
        <w:tc>
          <w:tcPr>
            <w:tcW w:w="2337" w:type="dxa"/>
            <w:tcBorders>
              <w:top w:val="double" w:sz="4" w:space="0" w:color="auto"/>
            </w:tcBorders>
          </w:tcPr>
          <w:p w:rsidR="00897BA8" w:rsidRDefault="00897BA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Continue to evaluate programs under each CAP, per curriculum changes to programs</w:t>
            </w:r>
          </w:p>
        </w:tc>
        <w:tc>
          <w:tcPr>
            <w:tcW w:w="2337" w:type="dxa"/>
            <w:tcBorders>
              <w:top w:val="double" w:sz="4" w:space="0" w:color="auto"/>
            </w:tcBorders>
          </w:tcPr>
          <w:p w:rsidR="00897BA8" w:rsidRDefault="003860B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Curriculum Office</w:t>
            </w:r>
          </w:p>
          <w:p w:rsidR="00866E91" w:rsidRDefault="00866E91" w:rsidP="007628FD">
            <w:pPr>
              <w:spacing w:after="0" w:line="259" w:lineRule="auto"/>
              <w:ind w:left="0" w:firstLine="0"/>
              <w:rPr>
                <w:rFonts w:ascii="Times New Roman" w:hAnsi="Times New Roman" w:cs="Times New Roman"/>
                <w:sz w:val="24"/>
                <w:szCs w:val="24"/>
              </w:rPr>
            </w:pPr>
          </w:p>
          <w:p w:rsidR="003860B8" w:rsidRDefault="003860B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GP Core Team</w:t>
            </w:r>
          </w:p>
        </w:tc>
        <w:tc>
          <w:tcPr>
            <w:tcW w:w="2338" w:type="dxa"/>
            <w:tcBorders>
              <w:top w:val="double" w:sz="4" w:space="0" w:color="auto"/>
            </w:tcBorders>
          </w:tcPr>
          <w:p w:rsidR="00897BA8" w:rsidRDefault="003860B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Personnel</w:t>
            </w:r>
          </w:p>
        </w:tc>
        <w:tc>
          <w:tcPr>
            <w:tcW w:w="2338" w:type="dxa"/>
            <w:tcBorders>
              <w:top w:val="double" w:sz="4" w:space="0" w:color="auto"/>
            </w:tcBorders>
          </w:tcPr>
          <w:p w:rsidR="00897BA8" w:rsidRDefault="000944A0"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Yearly</w:t>
            </w:r>
            <w:r w:rsidR="003F652C">
              <w:rPr>
                <w:rFonts w:ascii="Times New Roman" w:hAnsi="Times New Roman" w:cs="Times New Roman"/>
                <w:sz w:val="24"/>
                <w:szCs w:val="24"/>
              </w:rPr>
              <w:t>, ongoing</w:t>
            </w:r>
          </w:p>
        </w:tc>
      </w:tr>
      <w:tr w:rsidR="003860B8" w:rsidTr="00897BA8">
        <w:tc>
          <w:tcPr>
            <w:tcW w:w="2337" w:type="dxa"/>
          </w:tcPr>
          <w:p w:rsidR="00897BA8" w:rsidRDefault="00897BA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Enhance marketing efforts to promote CAPs to </w:t>
            </w:r>
            <w:r w:rsidR="003860B8">
              <w:rPr>
                <w:rFonts w:ascii="Times New Roman" w:hAnsi="Times New Roman" w:cs="Times New Roman"/>
                <w:sz w:val="24"/>
                <w:szCs w:val="24"/>
              </w:rPr>
              <w:t>all incoming students</w:t>
            </w:r>
          </w:p>
        </w:tc>
        <w:tc>
          <w:tcPr>
            <w:tcW w:w="2337" w:type="dxa"/>
          </w:tcPr>
          <w:p w:rsidR="003860B8" w:rsidRDefault="00897BA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Public </w:t>
            </w:r>
            <w:r w:rsidR="003F652C">
              <w:rPr>
                <w:rFonts w:ascii="Times New Roman" w:hAnsi="Times New Roman" w:cs="Times New Roman"/>
                <w:sz w:val="24"/>
                <w:szCs w:val="24"/>
              </w:rPr>
              <w:t>R</w:t>
            </w:r>
            <w:r>
              <w:rPr>
                <w:rFonts w:ascii="Times New Roman" w:hAnsi="Times New Roman" w:cs="Times New Roman"/>
                <w:sz w:val="24"/>
                <w:szCs w:val="24"/>
              </w:rPr>
              <w:t xml:space="preserve">elations </w:t>
            </w:r>
            <w:r w:rsidR="003F652C">
              <w:rPr>
                <w:rFonts w:ascii="Times New Roman" w:hAnsi="Times New Roman" w:cs="Times New Roman"/>
                <w:sz w:val="24"/>
                <w:szCs w:val="24"/>
              </w:rPr>
              <w:t>O</w:t>
            </w:r>
            <w:r>
              <w:rPr>
                <w:rFonts w:ascii="Times New Roman" w:hAnsi="Times New Roman" w:cs="Times New Roman"/>
                <w:sz w:val="24"/>
                <w:szCs w:val="24"/>
              </w:rPr>
              <w:t>ffice</w:t>
            </w:r>
          </w:p>
          <w:p w:rsidR="00866E91" w:rsidRDefault="00866E91" w:rsidP="007628FD">
            <w:pPr>
              <w:spacing w:after="0" w:line="259" w:lineRule="auto"/>
              <w:ind w:left="0" w:firstLine="0"/>
              <w:rPr>
                <w:rFonts w:ascii="Times New Roman" w:hAnsi="Times New Roman" w:cs="Times New Roman"/>
                <w:sz w:val="24"/>
                <w:szCs w:val="24"/>
              </w:rPr>
            </w:pPr>
          </w:p>
          <w:p w:rsidR="00897BA8" w:rsidRDefault="003860B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D</w:t>
            </w:r>
            <w:r w:rsidR="00897BA8">
              <w:rPr>
                <w:rFonts w:ascii="Times New Roman" w:hAnsi="Times New Roman" w:cs="Times New Roman"/>
                <w:sz w:val="24"/>
                <w:szCs w:val="24"/>
              </w:rPr>
              <w:t>ual-</w:t>
            </w:r>
            <w:r w:rsidR="003F652C">
              <w:rPr>
                <w:rFonts w:ascii="Times New Roman" w:hAnsi="Times New Roman" w:cs="Times New Roman"/>
                <w:sz w:val="24"/>
                <w:szCs w:val="24"/>
              </w:rPr>
              <w:t>E</w:t>
            </w:r>
            <w:r w:rsidR="00897BA8">
              <w:rPr>
                <w:rFonts w:ascii="Times New Roman" w:hAnsi="Times New Roman" w:cs="Times New Roman"/>
                <w:sz w:val="24"/>
                <w:szCs w:val="24"/>
              </w:rPr>
              <w:t xml:space="preserve">nrollment </w:t>
            </w:r>
            <w:r w:rsidR="003F652C">
              <w:rPr>
                <w:rFonts w:ascii="Times New Roman" w:hAnsi="Times New Roman" w:cs="Times New Roman"/>
                <w:sz w:val="24"/>
                <w:szCs w:val="24"/>
              </w:rPr>
              <w:t>O</w:t>
            </w:r>
            <w:r w:rsidR="00897BA8">
              <w:rPr>
                <w:rFonts w:ascii="Times New Roman" w:hAnsi="Times New Roman" w:cs="Times New Roman"/>
                <w:sz w:val="24"/>
                <w:szCs w:val="24"/>
              </w:rPr>
              <w:t>ffice</w:t>
            </w:r>
          </w:p>
          <w:p w:rsidR="00866E91" w:rsidRDefault="00866E91" w:rsidP="007628FD">
            <w:pPr>
              <w:spacing w:after="0" w:line="259" w:lineRule="auto"/>
              <w:ind w:left="0" w:firstLine="0"/>
              <w:rPr>
                <w:rFonts w:ascii="Times New Roman" w:hAnsi="Times New Roman" w:cs="Times New Roman"/>
                <w:sz w:val="24"/>
                <w:szCs w:val="24"/>
              </w:rPr>
            </w:pPr>
          </w:p>
          <w:p w:rsidR="003860B8" w:rsidRDefault="003860B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Outreach office</w:t>
            </w:r>
          </w:p>
        </w:tc>
        <w:tc>
          <w:tcPr>
            <w:tcW w:w="2338" w:type="dxa"/>
          </w:tcPr>
          <w:p w:rsidR="00897BA8" w:rsidRDefault="003860B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Financial resources to support marketing efforts</w:t>
            </w:r>
          </w:p>
        </w:tc>
        <w:tc>
          <w:tcPr>
            <w:tcW w:w="2338" w:type="dxa"/>
          </w:tcPr>
          <w:p w:rsidR="00897BA8" w:rsidRDefault="003F652C"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Yearly, ongoing</w:t>
            </w:r>
          </w:p>
        </w:tc>
      </w:tr>
      <w:tr w:rsidR="003860B8" w:rsidTr="00897BA8">
        <w:tc>
          <w:tcPr>
            <w:tcW w:w="2337" w:type="dxa"/>
          </w:tcPr>
          <w:p w:rsidR="00897BA8" w:rsidRDefault="00897BA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Align Santa Ana College CAPs with existing SAUSD pathways</w:t>
            </w:r>
            <w:r w:rsidR="003860B8">
              <w:rPr>
                <w:rFonts w:ascii="Times New Roman" w:hAnsi="Times New Roman" w:cs="Times New Roman"/>
                <w:sz w:val="24"/>
                <w:szCs w:val="24"/>
              </w:rPr>
              <w:t xml:space="preserve"> so students can easily transition</w:t>
            </w:r>
          </w:p>
        </w:tc>
        <w:tc>
          <w:tcPr>
            <w:tcW w:w="2337" w:type="dxa"/>
          </w:tcPr>
          <w:p w:rsidR="00897BA8" w:rsidRDefault="003860B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Public </w:t>
            </w:r>
            <w:r w:rsidR="003F652C">
              <w:rPr>
                <w:rFonts w:ascii="Times New Roman" w:hAnsi="Times New Roman" w:cs="Times New Roman"/>
                <w:sz w:val="24"/>
                <w:szCs w:val="24"/>
              </w:rPr>
              <w:t>R</w:t>
            </w:r>
            <w:r>
              <w:rPr>
                <w:rFonts w:ascii="Times New Roman" w:hAnsi="Times New Roman" w:cs="Times New Roman"/>
                <w:sz w:val="24"/>
                <w:szCs w:val="24"/>
              </w:rPr>
              <w:t xml:space="preserve">elations </w:t>
            </w:r>
            <w:r w:rsidR="003F652C">
              <w:rPr>
                <w:rFonts w:ascii="Times New Roman" w:hAnsi="Times New Roman" w:cs="Times New Roman"/>
                <w:sz w:val="24"/>
                <w:szCs w:val="24"/>
              </w:rPr>
              <w:t>O</w:t>
            </w:r>
            <w:r>
              <w:rPr>
                <w:rFonts w:ascii="Times New Roman" w:hAnsi="Times New Roman" w:cs="Times New Roman"/>
                <w:sz w:val="24"/>
                <w:szCs w:val="24"/>
              </w:rPr>
              <w:t>ffice</w:t>
            </w:r>
          </w:p>
          <w:p w:rsidR="00866E91" w:rsidRDefault="00866E91" w:rsidP="007628FD">
            <w:pPr>
              <w:spacing w:after="0" w:line="259" w:lineRule="auto"/>
              <w:ind w:left="0" w:firstLine="0"/>
              <w:rPr>
                <w:rFonts w:ascii="Times New Roman" w:hAnsi="Times New Roman" w:cs="Times New Roman"/>
                <w:sz w:val="24"/>
                <w:szCs w:val="24"/>
              </w:rPr>
            </w:pPr>
          </w:p>
          <w:p w:rsidR="003860B8" w:rsidRDefault="003860B8"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Dual-</w:t>
            </w:r>
            <w:r w:rsidR="003F652C">
              <w:rPr>
                <w:rFonts w:ascii="Times New Roman" w:hAnsi="Times New Roman" w:cs="Times New Roman"/>
                <w:sz w:val="24"/>
                <w:szCs w:val="24"/>
              </w:rPr>
              <w:t>E</w:t>
            </w:r>
            <w:r>
              <w:rPr>
                <w:rFonts w:ascii="Times New Roman" w:hAnsi="Times New Roman" w:cs="Times New Roman"/>
                <w:sz w:val="24"/>
                <w:szCs w:val="24"/>
              </w:rPr>
              <w:t xml:space="preserve">nrollment </w:t>
            </w:r>
            <w:r w:rsidR="003F652C">
              <w:rPr>
                <w:rFonts w:ascii="Times New Roman" w:hAnsi="Times New Roman" w:cs="Times New Roman"/>
                <w:sz w:val="24"/>
                <w:szCs w:val="24"/>
              </w:rPr>
              <w:t>O</w:t>
            </w:r>
            <w:r>
              <w:rPr>
                <w:rFonts w:ascii="Times New Roman" w:hAnsi="Times New Roman" w:cs="Times New Roman"/>
                <w:sz w:val="24"/>
                <w:szCs w:val="24"/>
              </w:rPr>
              <w:t>ffice</w:t>
            </w:r>
          </w:p>
        </w:tc>
        <w:tc>
          <w:tcPr>
            <w:tcW w:w="2338" w:type="dxa"/>
          </w:tcPr>
          <w:p w:rsidR="00897BA8" w:rsidRDefault="003F652C"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Dual-Enrollment Office</w:t>
            </w:r>
          </w:p>
          <w:p w:rsidR="003F652C" w:rsidRDefault="003F652C"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SAUSD staff</w:t>
            </w:r>
          </w:p>
        </w:tc>
        <w:tc>
          <w:tcPr>
            <w:tcW w:w="2338" w:type="dxa"/>
          </w:tcPr>
          <w:p w:rsidR="00897BA8" w:rsidRDefault="003F652C"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Spring 2021</w:t>
            </w:r>
          </w:p>
          <w:p w:rsidR="003F652C" w:rsidRDefault="003F652C" w:rsidP="007628F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Fall 2021</w:t>
            </w:r>
          </w:p>
        </w:tc>
      </w:tr>
    </w:tbl>
    <w:p w:rsidR="00897BA8" w:rsidRDefault="00897BA8" w:rsidP="007628FD">
      <w:pPr>
        <w:spacing w:after="0" w:line="259" w:lineRule="auto"/>
        <w:rPr>
          <w:rFonts w:ascii="Times New Roman" w:hAnsi="Times New Roman" w:cs="Times New Roman"/>
          <w:sz w:val="24"/>
          <w:szCs w:val="24"/>
        </w:rPr>
      </w:pPr>
    </w:p>
    <w:p w:rsidR="005863B9" w:rsidRPr="005A0595" w:rsidRDefault="006F42B9" w:rsidP="007628FD">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Guided Pathways </w:t>
      </w:r>
      <w:r w:rsidR="005863B9" w:rsidRPr="005A0595">
        <w:rPr>
          <w:rFonts w:ascii="Times New Roman" w:hAnsi="Times New Roman" w:cs="Times New Roman"/>
          <w:b/>
          <w:sz w:val="24"/>
          <w:szCs w:val="24"/>
        </w:rPr>
        <w:t xml:space="preserve">Scale of Adoption </w:t>
      </w:r>
      <w:r>
        <w:rPr>
          <w:rFonts w:ascii="Times New Roman" w:hAnsi="Times New Roman" w:cs="Times New Roman"/>
          <w:b/>
          <w:sz w:val="24"/>
          <w:szCs w:val="24"/>
        </w:rPr>
        <w:t xml:space="preserve">Assessment </w:t>
      </w:r>
      <w:r w:rsidR="005863B9" w:rsidRPr="005A0595">
        <w:rPr>
          <w:rFonts w:ascii="Times New Roman" w:hAnsi="Times New Roman" w:cs="Times New Roman"/>
          <w:b/>
          <w:sz w:val="24"/>
          <w:szCs w:val="24"/>
        </w:rPr>
        <w:t xml:space="preserve">Essential Practices Supported by </w:t>
      </w:r>
      <w:r w:rsidR="00645745">
        <w:rPr>
          <w:rFonts w:ascii="Times New Roman" w:hAnsi="Times New Roman" w:cs="Times New Roman"/>
          <w:b/>
          <w:sz w:val="24"/>
          <w:szCs w:val="24"/>
        </w:rPr>
        <w:t xml:space="preserve">Project #1 - </w:t>
      </w:r>
      <w:r w:rsidR="005863B9" w:rsidRPr="005A0595">
        <w:rPr>
          <w:rFonts w:ascii="Times New Roman" w:hAnsi="Times New Roman" w:cs="Times New Roman"/>
          <w:b/>
          <w:sz w:val="24"/>
          <w:szCs w:val="24"/>
        </w:rPr>
        <w:t xml:space="preserve">Career and Academic Pathways: </w:t>
      </w:r>
    </w:p>
    <w:p w:rsidR="005863B9" w:rsidRDefault="005863B9" w:rsidP="007628FD">
      <w:pPr>
        <w:spacing w:after="0" w:line="259" w:lineRule="auto"/>
        <w:rPr>
          <w:rFonts w:ascii="Times New Roman" w:hAnsi="Times New Roman" w:cs="Times New Roman"/>
          <w:sz w:val="24"/>
          <w:szCs w:val="24"/>
        </w:rPr>
      </w:pPr>
    </w:p>
    <w:p w:rsidR="005863B9" w:rsidRDefault="00536B3F" w:rsidP="007628FD">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Programs are organized and marketed in broad career-focused academic and communities or “meta-majors.” – Currently </w:t>
      </w:r>
      <w:proofErr w:type="gramStart"/>
      <w:r w:rsidRPr="005A0595">
        <w:rPr>
          <w:rFonts w:ascii="Times New Roman" w:hAnsi="Times New Roman" w:cs="Times New Roman"/>
          <w:b/>
          <w:i/>
          <w:sz w:val="24"/>
          <w:szCs w:val="24"/>
        </w:rPr>
        <w:t>At</w:t>
      </w:r>
      <w:proofErr w:type="gramEnd"/>
      <w:r w:rsidRPr="005A0595">
        <w:rPr>
          <w:rFonts w:ascii="Times New Roman" w:hAnsi="Times New Roman" w:cs="Times New Roman"/>
          <w:b/>
          <w:i/>
          <w:sz w:val="24"/>
          <w:szCs w:val="24"/>
        </w:rPr>
        <w:t xml:space="preserve"> </w:t>
      </w:r>
      <w:r w:rsidR="00C44084">
        <w:rPr>
          <w:rFonts w:ascii="Times New Roman" w:hAnsi="Times New Roman" w:cs="Times New Roman"/>
          <w:b/>
          <w:i/>
          <w:sz w:val="24"/>
          <w:szCs w:val="24"/>
        </w:rPr>
        <w:t>S</w:t>
      </w:r>
      <w:r w:rsidRPr="005A0595">
        <w:rPr>
          <w:rFonts w:ascii="Times New Roman" w:hAnsi="Times New Roman" w:cs="Times New Roman"/>
          <w:b/>
          <w:i/>
          <w:sz w:val="24"/>
          <w:szCs w:val="24"/>
        </w:rPr>
        <w:t>cale</w:t>
      </w:r>
      <w:r>
        <w:rPr>
          <w:rFonts w:ascii="Times New Roman" w:hAnsi="Times New Roman" w:cs="Times New Roman"/>
          <w:sz w:val="24"/>
          <w:szCs w:val="24"/>
        </w:rPr>
        <w:t xml:space="preserve"> at Santa Ana College</w:t>
      </w:r>
      <w:r w:rsidR="00C44084">
        <w:rPr>
          <w:rFonts w:ascii="Times New Roman" w:hAnsi="Times New Roman" w:cs="Times New Roman"/>
          <w:sz w:val="24"/>
          <w:szCs w:val="24"/>
        </w:rPr>
        <w:t>.</w:t>
      </w:r>
    </w:p>
    <w:p w:rsidR="00C44084" w:rsidRDefault="00C44084" w:rsidP="007628FD">
      <w:pPr>
        <w:spacing w:after="0" w:line="259" w:lineRule="auto"/>
        <w:rPr>
          <w:rFonts w:ascii="Times New Roman" w:hAnsi="Times New Roman" w:cs="Times New Roman"/>
          <w:sz w:val="24"/>
          <w:szCs w:val="24"/>
        </w:rPr>
      </w:pPr>
    </w:p>
    <w:p w:rsidR="00C44084" w:rsidRDefault="00C44084" w:rsidP="007628FD">
      <w:pPr>
        <w:spacing w:after="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Every new student is helped to explore career/college options, choose a program of study, and develop a full-time program plan as soon as possible. – Currently </w:t>
      </w:r>
      <w:r w:rsidRPr="005A0595">
        <w:rPr>
          <w:rFonts w:ascii="Times New Roman" w:hAnsi="Times New Roman" w:cs="Times New Roman"/>
          <w:b/>
          <w:i/>
          <w:sz w:val="24"/>
          <w:szCs w:val="24"/>
        </w:rPr>
        <w:t>Scaling in Progress</w:t>
      </w:r>
      <w:r>
        <w:rPr>
          <w:rFonts w:ascii="Times New Roman" w:hAnsi="Times New Roman" w:cs="Times New Roman"/>
          <w:sz w:val="24"/>
          <w:szCs w:val="24"/>
        </w:rPr>
        <w:t xml:space="preserve"> at Santa Ana College.</w:t>
      </w:r>
    </w:p>
    <w:p w:rsidR="00C44084" w:rsidRDefault="00C44084" w:rsidP="007628FD">
      <w:pPr>
        <w:spacing w:after="0" w:line="259" w:lineRule="auto"/>
        <w:rPr>
          <w:rFonts w:ascii="Times New Roman" w:hAnsi="Times New Roman" w:cs="Times New Roman"/>
          <w:sz w:val="24"/>
          <w:szCs w:val="24"/>
        </w:rPr>
      </w:pPr>
    </w:p>
    <w:p w:rsidR="00C44084" w:rsidRDefault="00C44084" w:rsidP="007628FD">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Advisors monitor which program every student is in and how far along the student is toward completing the program requirements. – Currently </w:t>
      </w:r>
      <w:r w:rsidRPr="005A0595">
        <w:rPr>
          <w:rFonts w:ascii="Times New Roman" w:hAnsi="Times New Roman" w:cs="Times New Roman"/>
          <w:b/>
          <w:i/>
          <w:sz w:val="24"/>
          <w:szCs w:val="24"/>
        </w:rPr>
        <w:t>Planning to Scale</w:t>
      </w:r>
      <w:r>
        <w:rPr>
          <w:rFonts w:ascii="Times New Roman" w:hAnsi="Times New Roman" w:cs="Times New Roman"/>
          <w:sz w:val="24"/>
          <w:szCs w:val="24"/>
        </w:rPr>
        <w:t xml:space="preserve"> at Santa Ana College.</w:t>
      </w:r>
    </w:p>
    <w:p w:rsidR="00C44084" w:rsidRDefault="00C44084" w:rsidP="007628FD">
      <w:pPr>
        <w:spacing w:after="0" w:line="259" w:lineRule="auto"/>
        <w:rPr>
          <w:rFonts w:ascii="Times New Roman" w:hAnsi="Times New Roman" w:cs="Times New Roman"/>
          <w:sz w:val="24"/>
          <w:szCs w:val="24"/>
        </w:rPr>
      </w:pPr>
    </w:p>
    <w:p w:rsidR="00C44084" w:rsidRDefault="00C44084" w:rsidP="007628FD">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Students can easily see how far they have come and what they need to do to complete their program. – Currently </w:t>
      </w:r>
      <w:r w:rsidRPr="005A0595">
        <w:rPr>
          <w:rFonts w:ascii="Times New Roman" w:hAnsi="Times New Roman" w:cs="Times New Roman"/>
          <w:b/>
          <w:i/>
          <w:sz w:val="24"/>
          <w:szCs w:val="24"/>
        </w:rPr>
        <w:t>Planning to Scale</w:t>
      </w:r>
      <w:r>
        <w:rPr>
          <w:rFonts w:ascii="Times New Roman" w:hAnsi="Times New Roman" w:cs="Times New Roman"/>
          <w:sz w:val="24"/>
          <w:szCs w:val="24"/>
        </w:rPr>
        <w:t xml:space="preserve"> at Santa Ana College.</w:t>
      </w:r>
    </w:p>
    <w:p w:rsidR="00C44084" w:rsidRDefault="00C44084" w:rsidP="007628FD">
      <w:pPr>
        <w:spacing w:after="0" w:line="259" w:lineRule="auto"/>
        <w:rPr>
          <w:rFonts w:ascii="Times New Roman" w:hAnsi="Times New Roman" w:cs="Times New Roman"/>
          <w:sz w:val="24"/>
          <w:szCs w:val="24"/>
        </w:rPr>
      </w:pPr>
    </w:p>
    <w:p w:rsidR="00645745" w:rsidRDefault="00C44084" w:rsidP="007628FD">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Advisors and students are alerted when students are at risk of falling off their program plans and have policies and supports in place to intervene in ways that help students get back on track. – Currently </w:t>
      </w:r>
      <w:r w:rsidRPr="005A0595">
        <w:rPr>
          <w:rFonts w:ascii="Times New Roman" w:hAnsi="Times New Roman" w:cs="Times New Roman"/>
          <w:b/>
          <w:i/>
          <w:sz w:val="24"/>
          <w:szCs w:val="24"/>
        </w:rPr>
        <w:t>Scaling in Progress</w:t>
      </w:r>
      <w:r>
        <w:rPr>
          <w:rFonts w:ascii="Times New Roman" w:hAnsi="Times New Roman" w:cs="Times New Roman"/>
          <w:sz w:val="24"/>
          <w:szCs w:val="24"/>
        </w:rPr>
        <w:t xml:space="preserve"> at Santa Ana College.</w:t>
      </w:r>
    </w:p>
    <w:p w:rsidR="00645745" w:rsidRDefault="00645745" w:rsidP="007628FD">
      <w:pPr>
        <w:spacing w:after="0" w:line="259" w:lineRule="auto"/>
        <w:rPr>
          <w:rFonts w:ascii="Times New Roman" w:hAnsi="Times New Roman" w:cs="Times New Roman"/>
          <w:sz w:val="24"/>
          <w:szCs w:val="24"/>
        </w:rPr>
      </w:pPr>
    </w:p>
    <w:p w:rsidR="005A4E8B" w:rsidRPr="000950AC" w:rsidRDefault="002D16E8" w:rsidP="005A4E8B">
      <w:pPr>
        <w:spacing w:after="0" w:line="259" w:lineRule="auto"/>
        <w:rPr>
          <w:rFonts w:ascii="Times New Roman" w:hAnsi="Times New Roman" w:cs="Times New Roman"/>
          <w:b/>
          <w:sz w:val="24"/>
          <w:szCs w:val="24"/>
          <w:u w:val="single"/>
        </w:rPr>
      </w:pPr>
      <w:bookmarkStart w:id="2" w:name="_Hlk62129976"/>
      <w:r w:rsidRPr="00161CE6">
        <w:rPr>
          <w:rFonts w:ascii="Times New Roman" w:hAnsi="Times New Roman" w:cs="Times New Roman"/>
          <w:b/>
          <w:i/>
          <w:sz w:val="24"/>
          <w:szCs w:val="24"/>
          <w:u w:val="single"/>
        </w:rPr>
        <w:t>Quality Focus Project #2</w:t>
      </w:r>
      <w:r>
        <w:rPr>
          <w:rFonts w:ascii="Times New Roman" w:hAnsi="Times New Roman" w:cs="Times New Roman"/>
          <w:b/>
          <w:sz w:val="24"/>
          <w:szCs w:val="24"/>
          <w:u w:val="single"/>
        </w:rPr>
        <w:t xml:space="preserve"> - </w:t>
      </w:r>
      <w:r w:rsidR="005A4E8B" w:rsidRPr="000950AC">
        <w:rPr>
          <w:rFonts w:ascii="Times New Roman" w:hAnsi="Times New Roman" w:cs="Times New Roman"/>
          <w:b/>
          <w:sz w:val="24"/>
          <w:szCs w:val="24"/>
          <w:u w:val="single"/>
        </w:rPr>
        <w:t xml:space="preserve">Program Mapping </w:t>
      </w:r>
    </w:p>
    <w:p w:rsidR="000950AC" w:rsidRDefault="000950AC" w:rsidP="005A4E8B">
      <w:pPr>
        <w:spacing w:after="0" w:line="259" w:lineRule="auto"/>
        <w:rPr>
          <w:rFonts w:ascii="Times New Roman" w:hAnsi="Times New Roman" w:cs="Times New Roman"/>
          <w:sz w:val="24"/>
          <w:szCs w:val="24"/>
        </w:rPr>
      </w:pPr>
    </w:p>
    <w:p w:rsidR="008D3F78" w:rsidRPr="008D3F78" w:rsidRDefault="008D3F78" w:rsidP="008D3F78">
      <w:pPr>
        <w:spacing w:line="252" w:lineRule="auto"/>
        <w:rPr>
          <w:rFonts w:ascii="Calibri" w:eastAsia="Calibri" w:hAnsi="Calibri" w:cs="Calibri"/>
          <w:color w:val="auto"/>
        </w:rPr>
      </w:pPr>
      <w:r w:rsidRPr="008D3F78">
        <w:rPr>
          <w:rFonts w:ascii="Times New Roman" w:hAnsi="Times New Roman"/>
          <w:color w:val="auto"/>
          <w:sz w:val="24"/>
          <w:szCs w:val="24"/>
        </w:rPr>
        <w:t>Early in our Guided Pathways implementation, the development of program maps was identified as integral to advancing our student success and achievement goals at Santa Ana College. To initiate the development of program maps, content faculty and counselors collaborated in the development of program maps for local A</w:t>
      </w:r>
      <w:r w:rsidR="002D16E8">
        <w:rPr>
          <w:rFonts w:ascii="Times New Roman" w:hAnsi="Times New Roman"/>
          <w:color w:val="auto"/>
          <w:sz w:val="24"/>
          <w:szCs w:val="24"/>
        </w:rPr>
        <w:t>ssociate of Arts, Associate of Science and Associate Degrees for Transfer</w:t>
      </w:r>
      <w:r w:rsidRPr="008D3F78">
        <w:rPr>
          <w:rFonts w:ascii="Times New Roman" w:hAnsi="Times New Roman"/>
          <w:color w:val="auto"/>
          <w:sz w:val="24"/>
          <w:szCs w:val="24"/>
        </w:rPr>
        <w:t>. Counselors vetted completed maps for accuracy and feasibility.</w:t>
      </w:r>
    </w:p>
    <w:p w:rsidR="008D3F78" w:rsidRPr="008D3F78" w:rsidRDefault="008D3F78" w:rsidP="008D3F78">
      <w:pPr>
        <w:spacing w:line="252" w:lineRule="auto"/>
        <w:rPr>
          <w:rFonts w:cs="Calibri"/>
          <w:color w:val="auto"/>
        </w:rPr>
      </w:pPr>
      <w:r w:rsidRPr="008D3F78">
        <w:rPr>
          <w:rFonts w:ascii="Times New Roman" w:hAnsi="Times New Roman"/>
          <w:color w:val="auto"/>
          <w:sz w:val="24"/>
          <w:szCs w:val="24"/>
        </w:rPr>
        <w:t>Currently, our Guided Pathways team is working to establish a process for the annual maintenance of program maps as part of the established program review process. It is anticipated that personnel and technology resources will be needed to create this process.</w:t>
      </w:r>
    </w:p>
    <w:p w:rsidR="008D3F78" w:rsidRPr="008D3F78" w:rsidRDefault="008D3F78" w:rsidP="008D3F78">
      <w:pPr>
        <w:spacing w:line="252" w:lineRule="auto"/>
        <w:rPr>
          <w:rFonts w:cs="Calibri"/>
          <w:color w:val="auto"/>
        </w:rPr>
      </w:pPr>
      <w:r w:rsidRPr="008D3F78">
        <w:rPr>
          <w:rFonts w:ascii="Times New Roman" w:hAnsi="Times New Roman"/>
          <w:color w:val="auto"/>
          <w:sz w:val="24"/>
          <w:szCs w:val="24"/>
        </w:rPr>
        <w:t>Program maps, as a fundamental part of the Guided Pathways framework, are designed to increase student completion by providing an articulated plan for student’s coursework across terms. The concept of mapping has begun to influence other areas of our campus to improve student guidance, in particular there has been interest in developing a career-oriented map to assist students in developing their professional profiles during their academic journey, as well as a rethinking our Math map to instead reflect Quantitative Reasoning as more course options become available to serve students with differing educational goals</w:t>
      </w:r>
      <w:r w:rsidR="002D16E8">
        <w:rPr>
          <w:rFonts w:ascii="Times New Roman" w:hAnsi="Times New Roman"/>
          <w:color w:val="auto"/>
          <w:sz w:val="24"/>
          <w:szCs w:val="24"/>
        </w:rPr>
        <w:t xml:space="preserve"> aligned with respective Career and Academic Pathways</w:t>
      </w:r>
      <w:r w:rsidR="007628FD">
        <w:rPr>
          <w:rFonts w:ascii="Times New Roman" w:hAnsi="Times New Roman"/>
          <w:color w:val="auto"/>
          <w:sz w:val="24"/>
          <w:szCs w:val="24"/>
        </w:rPr>
        <w:t>.</w:t>
      </w:r>
    </w:p>
    <w:bookmarkEnd w:id="2"/>
    <w:p w:rsidR="000950AC" w:rsidRDefault="000950AC" w:rsidP="005A4E8B">
      <w:pPr>
        <w:spacing w:after="0" w:line="259" w:lineRule="auto"/>
        <w:rPr>
          <w:rFonts w:ascii="Times New Roman" w:hAnsi="Times New Roman" w:cs="Times New Roman"/>
          <w:sz w:val="24"/>
          <w:szCs w:val="24"/>
        </w:rPr>
      </w:pPr>
    </w:p>
    <w:tbl>
      <w:tblPr>
        <w:tblStyle w:val="TableGrid"/>
        <w:tblW w:w="0" w:type="auto"/>
        <w:tblInd w:w="196" w:type="dxa"/>
        <w:tblLook w:val="04A0" w:firstRow="1" w:lastRow="0" w:firstColumn="1" w:lastColumn="0" w:noHBand="0" w:noVBand="1"/>
      </w:tblPr>
      <w:tblGrid>
        <w:gridCol w:w="2286"/>
        <w:gridCol w:w="2287"/>
        <w:gridCol w:w="2289"/>
        <w:gridCol w:w="2272"/>
      </w:tblGrid>
      <w:tr w:rsidR="00AB0638" w:rsidTr="00136952">
        <w:tc>
          <w:tcPr>
            <w:tcW w:w="2337" w:type="dxa"/>
            <w:tcBorders>
              <w:top w:val="double" w:sz="4" w:space="0" w:color="auto"/>
              <w:left w:val="double" w:sz="4" w:space="0" w:color="auto"/>
              <w:bottom w:val="double" w:sz="4" w:space="0" w:color="auto"/>
              <w:right w:val="double" w:sz="4" w:space="0" w:color="auto"/>
            </w:tcBorders>
          </w:tcPr>
          <w:p w:rsidR="00897BA8" w:rsidRDefault="00897BA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Activity</w:t>
            </w:r>
          </w:p>
        </w:tc>
        <w:tc>
          <w:tcPr>
            <w:tcW w:w="2337" w:type="dxa"/>
            <w:tcBorders>
              <w:top w:val="double" w:sz="4" w:space="0" w:color="auto"/>
              <w:left w:val="double" w:sz="4" w:space="0" w:color="auto"/>
              <w:bottom w:val="double" w:sz="4" w:space="0" w:color="auto"/>
              <w:right w:val="double" w:sz="4" w:space="0" w:color="auto"/>
            </w:tcBorders>
          </w:tcPr>
          <w:p w:rsidR="00897BA8" w:rsidRDefault="00897BA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Responsible Party</w:t>
            </w:r>
          </w:p>
        </w:tc>
        <w:tc>
          <w:tcPr>
            <w:tcW w:w="2338" w:type="dxa"/>
            <w:tcBorders>
              <w:top w:val="double" w:sz="4" w:space="0" w:color="auto"/>
              <w:left w:val="double" w:sz="4" w:space="0" w:color="auto"/>
              <w:bottom w:val="double" w:sz="4" w:space="0" w:color="auto"/>
              <w:right w:val="double" w:sz="4" w:space="0" w:color="auto"/>
            </w:tcBorders>
          </w:tcPr>
          <w:p w:rsidR="00897BA8" w:rsidRDefault="00897BA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Resources</w:t>
            </w:r>
          </w:p>
        </w:tc>
        <w:tc>
          <w:tcPr>
            <w:tcW w:w="2338" w:type="dxa"/>
            <w:tcBorders>
              <w:top w:val="double" w:sz="4" w:space="0" w:color="auto"/>
              <w:left w:val="double" w:sz="4" w:space="0" w:color="auto"/>
              <w:bottom w:val="double" w:sz="4" w:space="0" w:color="auto"/>
              <w:right w:val="double" w:sz="4" w:space="0" w:color="auto"/>
            </w:tcBorders>
          </w:tcPr>
          <w:p w:rsidR="00897BA8" w:rsidRDefault="00897BA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Timeline</w:t>
            </w:r>
          </w:p>
        </w:tc>
      </w:tr>
      <w:tr w:rsidR="00AB0638" w:rsidTr="00136952">
        <w:tc>
          <w:tcPr>
            <w:tcW w:w="2337" w:type="dxa"/>
            <w:tcBorders>
              <w:top w:val="double" w:sz="4" w:space="0" w:color="auto"/>
            </w:tcBorders>
          </w:tcPr>
          <w:p w:rsidR="00897BA8" w:rsidRDefault="003F652C"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Update </w:t>
            </w:r>
            <w:proofErr w:type="gramStart"/>
            <w:r>
              <w:rPr>
                <w:rFonts w:ascii="Times New Roman" w:hAnsi="Times New Roman" w:cs="Times New Roman"/>
                <w:sz w:val="24"/>
                <w:szCs w:val="24"/>
              </w:rPr>
              <w:t>existing  program</w:t>
            </w:r>
            <w:proofErr w:type="gramEnd"/>
            <w:r>
              <w:rPr>
                <w:rFonts w:ascii="Times New Roman" w:hAnsi="Times New Roman" w:cs="Times New Roman"/>
                <w:sz w:val="24"/>
                <w:szCs w:val="24"/>
              </w:rPr>
              <w:t xml:space="preserve"> maps for AA degrees</w:t>
            </w:r>
          </w:p>
        </w:tc>
        <w:tc>
          <w:tcPr>
            <w:tcW w:w="2337" w:type="dxa"/>
            <w:tcBorders>
              <w:top w:val="double" w:sz="4" w:space="0" w:color="auto"/>
            </w:tcBorders>
          </w:tcPr>
          <w:p w:rsidR="00897BA8" w:rsidRDefault="003F652C"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Department Faculty</w:t>
            </w:r>
          </w:p>
        </w:tc>
        <w:tc>
          <w:tcPr>
            <w:tcW w:w="2338" w:type="dxa"/>
            <w:tcBorders>
              <w:top w:val="double" w:sz="4" w:space="0" w:color="auto"/>
            </w:tcBorders>
          </w:tcPr>
          <w:p w:rsidR="00897BA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Clerical staff to manage program maps</w:t>
            </w:r>
          </w:p>
        </w:tc>
        <w:tc>
          <w:tcPr>
            <w:tcW w:w="2338" w:type="dxa"/>
            <w:tcBorders>
              <w:top w:val="double" w:sz="4" w:space="0" w:color="auto"/>
            </w:tcBorders>
          </w:tcPr>
          <w:p w:rsidR="00897BA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Fall 2021</w:t>
            </w:r>
          </w:p>
        </w:tc>
      </w:tr>
      <w:tr w:rsidR="00475981" w:rsidTr="00136952">
        <w:tc>
          <w:tcPr>
            <w:tcW w:w="2337" w:type="dxa"/>
            <w:tcBorders>
              <w:top w:val="double" w:sz="4" w:space="0" w:color="auto"/>
            </w:tcBorders>
          </w:tcPr>
          <w:p w:rsidR="00475981" w:rsidRDefault="0047598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Publishing of all maps to public website</w:t>
            </w:r>
          </w:p>
        </w:tc>
        <w:tc>
          <w:tcPr>
            <w:tcW w:w="2337" w:type="dxa"/>
            <w:tcBorders>
              <w:top w:val="double" w:sz="4" w:space="0" w:color="auto"/>
            </w:tcBorders>
          </w:tcPr>
          <w:p w:rsidR="00475981" w:rsidRDefault="0047598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Digital Media Specialist </w:t>
            </w:r>
          </w:p>
        </w:tc>
        <w:tc>
          <w:tcPr>
            <w:tcW w:w="2338" w:type="dxa"/>
            <w:tcBorders>
              <w:top w:val="double" w:sz="4" w:space="0" w:color="auto"/>
            </w:tcBorders>
          </w:tcPr>
          <w:p w:rsidR="00475981" w:rsidRDefault="00475981" w:rsidP="00136952">
            <w:pPr>
              <w:spacing w:after="0" w:line="259" w:lineRule="auto"/>
              <w:ind w:left="0" w:firstLine="0"/>
              <w:rPr>
                <w:rFonts w:ascii="Times New Roman" w:hAnsi="Times New Roman" w:cs="Times New Roman"/>
                <w:sz w:val="24"/>
                <w:szCs w:val="24"/>
              </w:rPr>
            </w:pPr>
          </w:p>
        </w:tc>
        <w:tc>
          <w:tcPr>
            <w:tcW w:w="2338" w:type="dxa"/>
            <w:tcBorders>
              <w:top w:val="double" w:sz="4" w:space="0" w:color="auto"/>
            </w:tcBorders>
          </w:tcPr>
          <w:p w:rsidR="00475981" w:rsidRDefault="0047598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Fall 2021</w:t>
            </w:r>
          </w:p>
        </w:tc>
      </w:tr>
      <w:tr w:rsidR="00AB0638" w:rsidTr="00136952">
        <w:tc>
          <w:tcPr>
            <w:tcW w:w="2337" w:type="dxa"/>
          </w:tcPr>
          <w:p w:rsidR="00897BA8" w:rsidRDefault="003F652C"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Create program maps for remaining certificate programs and ADT degrees</w:t>
            </w:r>
          </w:p>
        </w:tc>
        <w:tc>
          <w:tcPr>
            <w:tcW w:w="2337" w:type="dxa"/>
          </w:tcPr>
          <w:p w:rsidR="00897BA8" w:rsidRDefault="003F652C"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Department Faculty</w:t>
            </w:r>
          </w:p>
        </w:tc>
        <w:tc>
          <w:tcPr>
            <w:tcW w:w="2338" w:type="dxa"/>
          </w:tcPr>
          <w:p w:rsidR="00897BA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Clerical staff to coordinate and manage program maps</w:t>
            </w:r>
          </w:p>
        </w:tc>
        <w:tc>
          <w:tcPr>
            <w:tcW w:w="2338" w:type="dxa"/>
          </w:tcPr>
          <w:p w:rsidR="00897BA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Fall 2021 – Spring 2022</w:t>
            </w:r>
          </w:p>
        </w:tc>
      </w:tr>
      <w:tr w:rsidR="00AB0638" w:rsidTr="00136952">
        <w:tc>
          <w:tcPr>
            <w:tcW w:w="2337" w:type="dxa"/>
          </w:tcPr>
          <w:p w:rsidR="00897BA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Upload program maps to Curriculum Tracks to integrate with electronic ed planning</w:t>
            </w:r>
          </w:p>
        </w:tc>
        <w:tc>
          <w:tcPr>
            <w:tcW w:w="2337" w:type="dxa"/>
          </w:tcPr>
          <w:p w:rsidR="00897BA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Curriculum Office</w:t>
            </w:r>
          </w:p>
        </w:tc>
        <w:tc>
          <w:tcPr>
            <w:tcW w:w="2338" w:type="dxa"/>
          </w:tcPr>
          <w:p w:rsidR="00897BA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Personnel (Curriculum Specialist)</w:t>
            </w:r>
          </w:p>
        </w:tc>
        <w:tc>
          <w:tcPr>
            <w:tcW w:w="2338" w:type="dxa"/>
          </w:tcPr>
          <w:p w:rsidR="00897BA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Spring 2022</w:t>
            </w:r>
          </w:p>
        </w:tc>
      </w:tr>
      <w:tr w:rsidR="00AB0638" w:rsidTr="00136952">
        <w:tc>
          <w:tcPr>
            <w:tcW w:w="2337" w:type="dxa"/>
          </w:tcPr>
          <w:p w:rsidR="00AB0638" w:rsidRDefault="0047598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Approval</w:t>
            </w:r>
            <w:r w:rsidR="00AB0638">
              <w:rPr>
                <w:rFonts w:ascii="Times New Roman" w:hAnsi="Times New Roman" w:cs="Times New Roman"/>
                <w:sz w:val="24"/>
                <w:szCs w:val="24"/>
              </w:rPr>
              <w:t xml:space="preserve"> process for quadrennial review of program maps</w:t>
            </w:r>
          </w:p>
        </w:tc>
        <w:tc>
          <w:tcPr>
            <w:tcW w:w="2337" w:type="dxa"/>
          </w:tcPr>
          <w:p w:rsidR="00AB0638" w:rsidRDefault="0047598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Program Review</w:t>
            </w:r>
          </w:p>
          <w:p w:rsidR="00866E91" w:rsidRDefault="00866E91" w:rsidP="00136952">
            <w:pPr>
              <w:spacing w:after="0" w:line="259" w:lineRule="auto"/>
              <w:ind w:left="0" w:firstLine="0"/>
              <w:rPr>
                <w:rFonts w:ascii="Times New Roman" w:hAnsi="Times New Roman" w:cs="Times New Roman"/>
                <w:sz w:val="24"/>
                <w:szCs w:val="24"/>
              </w:rPr>
            </w:pPr>
          </w:p>
          <w:p w:rsidR="00AB063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Department Chairs</w:t>
            </w:r>
          </w:p>
        </w:tc>
        <w:tc>
          <w:tcPr>
            <w:tcW w:w="2338" w:type="dxa"/>
          </w:tcPr>
          <w:p w:rsidR="00AB0638" w:rsidRDefault="00AB0638" w:rsidP="00136952">
            <w:pPr>
              <w:spacing w:after="0" w:line="259" w:lineRule="auto"/>
              <w:ind w:left="0" w:firstLine="0"/>
              <w:rPr>
                <w:rFonts w:ascii="Times New Roman" w:hAnsi="Times New Roman" w:cs="Times New Roman"/>
                <w:sz w:val="24"/>
                <w:szCs w:val="24"/>
              </w:rPr>
            </w:pPr>
          </w:p>
        </w:tc>
        <w:tc>
          <w:tcPr>
            <w:tcW w:w="2338" w:type="dxa"/>
          </w:tcPr>
          <w:p w:rsidR="00AB063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Spring 2022 – Fall 2022</w:t>
            </w:r>
          </w:p>
        </w:tc>
      </w:tr>
    </w:tbl>
    <w:p w:rsidR="00897BA8" w:rsidRDefault="00897BA8" w:rsidP="005A4E8B">
      <w:pPr>
        <w:spacing w:after="0" w:line="259" w:lineRule="auto"/>
        <w:rPr>
          <w:rFonts w:ascii="Times New Roman" w:hAnsi="Times New Roman" w:cs="Times New Roman"/>
          <w:sz w:val="24"/>
          <w:szCs w:val="24"/>
        </w:rPr>
      </w:pPr>
    </w:p>
    <w:p w:rsidR="00645745" w:rsidRPr="004731D1" w:rsidRDefault="006F42B9" w:rsidP="00645745">
      <w:p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Guided Pathways </w:t>
      </w:r>
      <w:r w:rsidR="00645745" w:rsidRPr="004731D1">
        <w:rPr>
          <w:rFonts w:ascii="Times New Roman" w:hAnsi="Times New Roman" w:cs="Times New Roman"/>
          <w:b/>
          <w:sz w:val="24"/>
          <w:szCs w:val="24"/>
        </w:rPr>
        <w:t xml:space="preserve">Scale of Adoption </w:t>
      </w:r>
      <w:r>
        <w:rPr>
          <w:rFonts w:ascii="Times New Roman" w:hAnsi="Times New Roman" w:cs="Times New Roman"/>
          <w:b/>
          <w:sz w:val="24"/>
          <w:szCs w:val="24"/>
        </w:rPr>
        <w:t xml:space="preserve">Assessment </w:t>
      </w:r>
      <w:r w:rsidR="00645745" w:rsidRPr="004731D1">
        <w:rPr>
          <w:rFonts w:ascii="Times New Roman" w:hAnsi="Times New Roman" w:cs="Times New Roman"/>
          <w:b/>
          <w:sz w:val="24"/>
          <w:szCs w:val="24"/>
        </w:rPr>
        <w:t xml:space="preserve">Essential Practices Supported by </w:t>
      </w:r>
      <w:r w:rsidR="00645745">
        <w:rPr>
          <w:rFonts w:ascii="Times New Roman" w:hAnsi="Times New Roman" w:cs="Times New Roman"/>
          <w:b/>
          <w:sz w:val="24"/>
          <w:szCs w:val="24"/>
        </w:rPr>
        <w:t>Project #2 – Program Mapping</w:t>
      </w:r>
      <w:r w:rsidR="00645745" w:rsidRPr="004731D1">
        <w:rPr>
          <w:rFonts w:ascii="Times New Roman" w:hAnsi="Times New Roman" w:cs="Times New Roman"/>
          <w:b/>
          <w:sz w:val="24"/>
          <w:szCs w:val="24"/>
        </w:rPr>
        <w:t xml:space="preserve">: </w:t>
      </w:r>
    </w:p>
    <w:p w:rsidR="00897BA8" w:rsidRDefault="00897BA8" w:rsidP="005A4E8B">
      <w:pPr>
        <w:spacing w:after="0" w:line="259" w:lineRule="auto"/>
        <w:rPr>
          <w:rFonts w:ascii="Times New Roman" w:hAnsi="Times New Roman" w:cs="Times New Roman"/>
          <w:sz w:val="24"/>
          <w:szCs w:val="24"/>
        </w:rPr>
      </w:pPr>
    </w:p>
    <w:p w:rsidR="00536B3F" w:rsidRDefault="00536B3F" w:rsidP="005A4E8B">
      <w:pPr>
        <w:spacing w:after="0" w:line="259" w:lineRule="auto"/>
        <w:rPr>
          <w:rFonts w:ascii="Times New Roman" w:hAnsi="Times New Roman" w:cs="Times New Roman"/>
          <w:sz w:val="24"/>
          <w:szCs w:val="24"/>
        </w:rPr>
      </w:pPr>
      <w:r>
        <w:rPr>
          <w:rFonts w:ascii="Times New Roman" w:hAnsi="Times New Roman" w:cs="Times New Roman"/>
          <w:sz w:val="24"/>
          <w:szCs w:val="24"/>
        </w:rPr>
        <w:t>Programs are clearly mapped out for students. Students know which courses they should take and in what sequence. Courses critical for success in each program and other key program milestones are clearly identified. All this information is easily accessible on the college’s website</w:t>
      </w:r>
      <w:r w:rsidR="00C44084">
        <w:rPr>
          <w:rFonts w:ascii="Times New Roman" w:hAnsi="Times New Roman" w:cs="Times New Roman"/>
          <w:sz w:val="24"/>
          <w:szCs w:val="24"/>
        </w:rPr>
        <w:t xml:space="preserve">. – Currently </w:t>
      </w:r>
      <w:r w:rsidR="00C44084" w:rsidRPr="005A0595">
        <w:rPr>
          <w:rFonts w:ascii="Times New Roman" w:hAnsi="Times New Roman" w:cs="Times New Roman"/>
          <w:b/>
          <w:i/>
          <w:sz w:val="24"/>
          <w:szCs w:val="24"/>
        </w:rPr>
        <w:t>Scaling in Progress</w:t>
      </w:r>
      <w:r w:rsidR="00C44084">
        <w:rPr>
          <w:rFonts w:ascii="Times New Roman" w:hAnsi="Times New Roman" w:cs="Times New Roman"/>
          <w:sz w:val="24"/>
          <w:szCs w:val="24"/>
        </w:rPr>
        <w:t xml:space="preserve"> at Santa Ana College.</w:t>
      </w:r>
    </w:p>
    <w:p w:rsidR="00645745" w:rsidRDefault="00645745" w:rsidP="005A4E8B">
      <w:pPr>
        <w:spacing w:after="0" w:line="259" w:lineRule="auto"/>
        <w:rPr>
          <w:rFonts w:ascii="Times New Roman" w:hAnsi="Times New Roman" w:cs="Times New Roman"/>
          <w:sz w:val="24"/>
          <w:szCs w:val="24"/>
        </w:rPr>
      </w:pPr>
    </w:p>
    <w:p w:rsidR="00C44084" w:rsidRDefault="00C44084" w:rsidP="005A4E8B">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The college schedules courses to ensure students can take the courses they need when they need them, can plan their lives around school from one term to the next, and can complete their programs in as short a time as possible. </w:t>
      </w:r>
      <w:r w:rsidR="006F42B9">
        <w:rPr>
          <w:rFonts w:ascii="Times New Roman" w:hAnsi="Times New Roman" w:cs="Times New Roman"/>
          <w:sz w:val="24"/>
          <w:szCs w:val="24"/>
        </w:rPr>
        <w:t>–</w:t>
      </w:r>
      <w:r>
        <w:rPr>
          <w:rFonts w:ascii="Times New Roman" w:hAnsi="Times New Roman" w:cs="Times New Roman"/>
          <w:sz w:val="24"/>
          <w:szCs w:val="24"/>
        </w:rPr>
        <w:t xml:space="preserve"> </w:t>
      </w:r>
      <w:r w:rsidR="006F42B9">
        <w:rPr>
          <w:rFonts w:ascii="Times New Roman" w:hAnsi="Times New Roman" w:cs="Times New Roman"/>
          <w:sz w:val="24"/>
          <w:szCs w:val="24"/>
        </w:rPr>
        <w:t xml:space="preserve">Currently </w:t>
      </w:r>
      <w:r w:rsidR="006F42B9" w:rsidRPr="005A0595">
        <w:rPr>
          <w:rFonts w:ascii="Times New Roman" w:hAnsi="Times New Roman" w:cs="Times New Roman"/>
          <w:b/>
          <w:i/>
          <w:sz w:val="24"/>
          <w:szCs w:val="24"/>
        </w:rPr>
        <w:t>Not Systematic</w:t>
      </w:r>
      <w:r w:rsidR="006F42B9">
        <w:rPr>
          <w:rFonts w:ascii="Times New Roman" w:hAnsi="Times New Roman" w:cs="Times New Roman"/>
          <w:sz w:val="24"/>
          <w:szCs w:val="24"/>
        </w:rPr>
        <w:t xml:space="preserve"> at Santa Ana College.</w:t>
      </w:r>
    </w:p>
    <w:p w:rsidR="00645745" w:rsidRDefault="00645745" w:rsidP="005A4E8B">
      <w:pPr>
        <w:spacing w:after="0" w:line="259" w:lineRule="auto"/>
        <w:rPr>
          <w:rFonts w:ascii="Times New Roman" w:hAnsi="Times New Roman" w:cs="Times New Roman"/>
          <w:sz w:val="24"/>
          <w:szCs w:val="24"/>
        </w:rPr>
      </w:pPr>
    </w:p>
    <w:p w:rsidR="005A4E8B" w:rsidRPr="000950AC" w:rsidRDefault="002D16E8" w:rsidP="005A4E8B">
      <w:pPr>
        <w:spacing w:after="0" w:line="259" w:lineRule="auto"/>
        <w:rPr>
          <w:rFonts w:ascii="Times New Roman" w:hAnsi="Times New Roman" w:cs="Times New Roman"/>
          <w:b/>
          <w:sz w:val="24"/>
          <w:szCs w:val="24"/>
          <w:u w:val="single"/>
        </w:rPr>
      </w:pPr>
      <w:r w:rsidRPr="00161CE6">
        <w:rPr>
          <w:rFonts w:ascii="Times New Roman" w:hAnsi="Times New Roman" w:cs="Times New Roman"/>
          <w:b/>
          <w:i/>
          <w:sz w:val="24"/>
          <w:szCs w:val="24"/>
          <w:u w:val="single"/>
        </w:rPr>
        <w:t>Quality Focus Project #</w:t>
      </w:r>
      <w:r w:rsidR="007628FD">
        <w:rPr>
          <w:rFonts w:ascii="Times New Roman" w:hAnsi="Times New Roman" w:cs="Times New Roman"/>
          <w:b/>
          <w:i/>
          <w:sz w:val="24"/>
          <w:szCs w:val="24"/>
          <w:u w:val="single"/>
        </w:rPr>
        <w:t>3</w:t>
      </w:r>
      <w:r>
        <w:rPr>
          <w:rFonts w:ascii="Times New Roman" w:hAnsi="Times New Roman" w:cs="Times New Roman"/>
          <w:b/>
          <w:sz w:val="24"/>
          <w:szCs w:val="24"/>
          <w:u w:val="single"/>
        </w:rPr>
        <w:t xml:space="preserve"> - </w:t>
      </w:r>
      <w:r w:rsidR="005A4E8B" w:rsidRPr="000950AC">
        <w:rPr>
          <w:rFonts w:ascii="Times New Roman" w:hAnsi="Times New Roman" w:cs="Times New Roman"/>
          <w:b/>
          <w:sz w:val="24"/>
          <w:szCs w:val="24"/>
          <w:u w:val="single"/>
        </w:rPr>
        <w:t xml:space="preserve">Learning &amp; Engagement </w:t>
      </w:r>
      <w:r w:rsidR="00226A88">
        <w:rPr>
          <w:rFonts w:ascii="Times New Roman" w:hAnsi="Times New Roman" w:cs="Times New Roman"/>
          <w:b/>
          <w:sz w:val="24"/>
          <w:szCs w:val="24"/>
          <w:u w:val="single"/>
        </w:rPr>
        <w:t>Equity Team</w:t>
      </w:r>
    </w:p>
    <w:p w:rsidR="000950AC" w:rsidRDefault="000950AC" w:rsidP="005A4E8B">
      <w:pPr>
        <w:spacing w:after="0" w:line="259" w:lineRule="auto"/>
        <w:rPr>
          <w:rFonts w:ascii="Times New Roman" w:hAnsi="Times New Roman" w:cs="Times New Roman"/>
          <w:sz w:val="24"/>
          <w:szCs w:val="24"/>
        </w:rPr>
      </w:pPr>
    </w:p>
    <w:p w:rsidR="000A11DE" w:rsidRDefault="000A11DE" w:rsidP="005A4E8B">
      <w:pPr>
        <w:spacing w:after="0" w:line="259" w:lineRule="auto"/>
        <w:rPr>
          <w:rFonts w:ascii="Times New Roman" w:hAnsi="Times New Roman" w:cs="Times New Roman"/>
          <w:sz w:val="24"/>
          <w:szCs w:val="24"/>
        </w:rPr>
      </w:pPr>
      <w:r>
        <w:rPr>
          <w:rFonts w:ascii="Times New Roman" w:hAnsi="Times New Roman" w:cs="Times New Roman"/>
          <w:sz w:val="24"/>
          <w:szCs w:val="24"/>
        </w:rPr>
        <w:t>One of the most challenging aspects of Guided Pathways implementation has been the operationalization of the 4</w:t>
      </w:r>
      <w:r w:rsidRPr="000A11DE">
        <w:rPr>
          <w:rFonts w:ascii="Times New Roman" w:hAnsi="Times New Roman" w:cs="Times New Roman"/>
          <w:sz w:val="24"/>
          <w:szCs w:val="24"/>
          <w:vertAlign w:val="superscript"/>
        </w:rPr>
        <w:t>th</w:t>
      </w:r>
      <w:r>
        <w:rPr>
          <w:rFonts w:ascii="Times New Roman" w:hAnsi="Times New Roman" w:cs="Times New Roman"/>
          <w:sz w:val="24"/>
          <w:szCs w:val="24"/>
        </w:rPr>
        <w:t xml:space="preserve"> pillar; ensuring that students are learning. Our Learning &amp; Engagement Team was initiated to address student learning with a focus on student equity. Currently, our Learning &amp; Engagement Team consists of student equity coordinators for our credit and noncredit programs, professional development coordinator, outcomes assessment coordinator, and Guided Pathways coordinators for our credit and noncredit programs.</w:t>
      </w:r>
    </w:p>
    <w:p w:rsidR="000A11DE" w:rsidRDefault="000A11DE" w:rsidP="005A4E8B">
      <w:pPr>
        <w:spacing w:after="0" w:line="259" w:lineRule="auto"/>
        <w:rPr>
          <w:rFonts w:ascii="Times New Roman" w:hAnsi="Times New Roman" w:cs="Times New Roman"/>
          <w:sz w:val="24"/>
          <w:szCs w:val="24"/>
        </w:rPr>
      </w:pPr>
    </w:p>
    <w:p w:rsidR="000A11DE" w:rsidRDefault="000A11DE" w:rsidP="005A4E8B">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The Learning &amp; Engagement Team is </w:t>
      </w:r>
      <w:r w:rsidR="00AC4B8B">
        <w:rPr>
          <w:rFonts w:ascii="Times New Roman" w:hAnsi="Times New Roman" w:cs="Times New Roman"/>
          <w:sz w:val="24"/>
          <w:szCs w:val="24"/>
        </w:rPr>
        <w:t xml:space="preserve">using the </w:t>
      </w:r>
      <w:r>
        <w:rPr>
          <w:rFonts w:ascii="Times New Roman" w:hAnsi="Times New Roman" w:cs="Times New Roman"/>
          <w:sz w:val="24"/>
          <w:szCs w:val="24"/>
        </w:rPr>
        <w:t xml:space="preserve">T3 </w:t>
      </w:r>
      <w:r w:rsidR="00AC4B8B">
        <w:rPr>
          <w:rFonts w:ascii="Times New Roman" w:hAnsi="Times New Roman" w:cs="Times New Roman"/>
          <w:sz w:val="24"/>
          <w:szCs w:val="24"/>
        </w:rPr>
        <w:t>framework to guide the work. The model states</w:t>
      </w:r>
      <w:r w:rsidR="00527754">
        <w:rPr>
          <w:rFonts w:ascii="Times New Roman" w:hAnsi="Times New Roman" w:cs="Times New Roman"/>
          <w:sz w:val="24"/>
          <w:szCs w:val="24"/>
        </w:rPr>
        <w:t>:</w:t>
      </w:r>
    </w:p>
    <w:p w:rsidR="00527754" w:rsidRDefault="00527754" w:rsidP="005A4E8B">
      <w:pPr>
        <w:spacing w:after="0" w:line="259" w:lineRule="auto"/>
        <w:rPr>
          <w:rFonts w:ascii="Times New Roman" w:hAnsi="Times New Roman" w:cs="Times New Roman"/>
          <w:sz w:val="24"/>
          <w:szCs w:val="24"/>
        </w:rPr>
      </w:pPr>
    </w:p>
    <w:p w:rsidR="00527754" w:rsidRDefault="00527754" w:rsidP="00136952">
      <w:pPr>
        <w:pStyle w:val="ListParagraph"/>
        <w:numPr>
          <w:ilvl w:val="0"/>
          <w:numId w:val="2"/>
        </w:numPr>
        <w:spacing w:after="0" w:line="259" w:lineRule="auto"/>
        <w:rPr>
          <w:rFonts w:ascii="Times New Roman" w:hAnsi="Times New Roman" w:cs="Times New Roman"/>
          <w:sz w:val="24"/>
          <w:szCs w:val="24"/>
        </w:rPr>
      </w:pPr>
      <w:r w:rsidRPr="00AC4B8B">
        <w:rPr>
          <w:rFonts w:ascii="Times New Roman" w:hAnsi="Times New Roman" w:cs="Times New Roman"/>
          <w:b/>
          <w:sz w:val="24"/>
          <w:szCs w:val="24"/>
        </w:rPr>
        <w:t>Traditional</w:t>
      </w:r>
      <w:r w:rsidRPr="00527754">
        <w:rPr>
          <w:rFonts w:ascii="Times New Roman" w:hAnsi="Times New Roman" w:cs="Times New Roman"/>
          <w:sz w:val="24"/>
          <w:szCs w:val="24"/>
        </w:rPr>
        <w:t xml:space="preserve"> approach </w:t>
      </w:r>
      <w:r>
        <w:rPr>
          <w:rFonts w:ascii="Times New Roman" w:hAnsi="Times New Roman" w:cs="Times New Roman"/>
          <w:sz w:val="24"/>
          <w:szCs w:val="24"/>
        </w:rPr>
        <w:t xml:space="preserve">which </w:t>
      </w:r>
      <w:r w:rsidRPr="00527754">
        <w:rPr>
          <w:rFonts w:ascii="Times New Roman" w:hAnsi="Times New Roman" w:cs="Times New Roman"/>
          <w:sz w:val="24"/>
          <w:szCs w:val="24"/>
        </w:rPr>
        <w:t>reflects the current approach</w:t>
      </w:r>
      <w:r>
        <w:rPr>
          <w:rFonts w:ascii="Times New Roman" w:hAnsi="Times New Roman" w:cs="Times New Roman"/>
          <w:sz w:val="24"/>
          <w:szCs w:val="24"/>
        </w:rPr>
        <w:t xml:space="preserve"> or status quo, the acknowledgement of why </w:t>
      </w:r>
      <w:r w:rsidRPr="00527754">
        <w:rPr>
          <w:rFonts w:ascii="Times New Roman" w:hAnsi="Times New Roman" w:cs="Times New Roman"/>
          <w:sz w:val="24"/>
          <w:szCs w:val="24"/>
        </w:rPr>
        <w:t>equity gaps</w:t>
      </w:r>
      <w:r>
        <w:rPr>
          <w:rFonts w:ascii="Times New Roman" w:hAnsi="Times New Roman" w:cs="Times New Roman"/>
          <w:sz w:val="24"/>
          <w:szCs w:val="24"/>
        </w:rPr>
        <w:t xml:space="preserve"> exists at our College</w:t>
      </w:r>
      <w:r w:rsidRPr="00527754">
        <w:rPr>
          <w:rFonts w:ascii="Times New Roman" w:hAnsi="Times New Roman" w:cs="Times New Roman"/>
          <w:sz w:val="24"/>
          <w:szCs w:val="24"/>
        </w:rPr>
        <w:t>.</w:t>
      </w:r>
    </w:p>
    <w:p w:rsidR="00527754" w:rsidRDefault="00527754" w:rsidP="00136952">
      <w:pPr>
        <w:pStyle w:val="ListParagraph"/>
        <w:numPr>
          <w:ilvl w:val="0"/>
          <w:numId w:val="2"/>
        </w:numPr>
        <w:spacing w:after="0" w:line="259" w:lineRule="auto"/>
        <w:rPr>
          <w:rFonts w:ascii="Times New Roman" w:hAnsi="Times New Roman" w:cs="Times New Roman"/>
          <w:sz w:val="24"/>
          <w:szCs w:val="24"/>
        </w:rPr>
      </w:pPr>
      <w:r w:rsidRPr="00AC4B8B">
        <w:rPr>
          <w:rFonts w:ascii="Times New Roman" w:hAnsi="Times New Roman" w:cs="Times New Roman"/>
          <w:b/>
          <w:sz w:val="24"/>
          <w:szCs w:val="24"/>
        </w:rPr>
        <w:t>Transitional</w:t>
      </w:r>
      <w:r w:rsidRPr="00527754">
        <w:rPr>
          <w:rFonts w:ascii="Times New Roman" w:hAnsi="Times New Roman" w:cs="Times New Roman"/>
          <w:sz w:val="24"/>
          <w:szCs w:val="24"/>
        </w:rPr>
        <w:t xml:space="preserve"> practice includes modest modifications to the traditional lens</w:t>
      </w:r>
      <w:r>
        <w:rPr>
          <w:rFonts w:ascii="Times New Roman" w:hAnsi="Times New Roman" w:cs="Times New Roman"/>
          <w:sz w:val="24"/>
          <w:szCs w:val="24"/>
        </w:rPr>
        <w:t>.</w:t>
      </w:r>
      <w:r w:rsidRPr="00527754">
        <w:rPr>
          <w:rFonts w:ascii="Times New Roman" w:hAnsi="Times New Roman" w:cs="Times New Roman"/>
          <w:sz w:val="24"/>
          <w:szCs w:val="24"/>
        </w:rPr>
        <w:t xml:space="preserve"> </w:t>
      </w:r>
    </w:p>
    <w:p w:rsidR="00527754" w:rsidRDefault="00527754" w:rsidP="00136952">
      <w:pPr>
        <w:pStyle w:val="ListParagraph"/>
        <w:numPr>
          <w:ilvl w:val="0"/>
          <w:numId w:val="2"/>
        </w:numPr>
        <w:spacing w:after="0" w:line="259" w:lineRule="auto"/>
        <w:rPr>
          <w:rFonts w:ascii="Times New Roman" w:hAnsi="Times New Roman" w:cs="Times New Roman"/>
          <w:sz w:val="24"/>
          <w:szCs w:val="24"/>
        </w:rPr>
      </w:pPr>
      <w:r w:rsidRPr="00AC4B8B">
        <w:rPr>
          <w:rFonts w:ascii="Times New Roman" w:hAnsi="Times New Roman" w:cs="Times New Roman"/>
          <w:b/>
          <w:sz w:val="24"/>
          <w:szCs w:val="24"/>
        </w:rPr>
        <w:t>Transformative</w:t>
      </w:r>
      <w:r w:rsidRPr="00527754">
        <w:rPr>
          <w:rFonts w:ascii="Times New Roman" w:hAnsi="Times New Roman" w:cs="Times New Roman"/>
          <w:sz w:val="24"/>
          <w:szCs w:val="24"/>
        </w:rPr>
        <w:t xml:space="preserve"> consciousness and practice </w:t>
      </w:r>
      <w:proofErr w:type="gramStart"/>
      <w:r w:rsidRPr="00527754">
        <w:rPr>
          <w:rFonts w:ascii="Times New Roman" w:hAnsi="Times New Roman" w:cs="Times New Roman"/>
          <w:sz w:val="24"/>
          <w:szCs w:val="24"/>
        </w:rPr>
        <w:t>addresses</w:t>
      </w:r>
      <w:proofErr w:type="gramEnd"/>
      <w:r w:rsidRPr="00527754">
        <w:rPr>
          <w:rFonts w:ascii="Times New Roman" w:hAnsi="Times New Roman" w:cs="Times New Roman"/>
          <w:sz w:val="24"/>
          <w:szCs w:val="24"/>
        </w:rPr>
        <w:t xml:space="preserve"> the historical and sociopolitical causes of inequities</w:t>
      </w:r>
      <w:r>
        <w:rPr>
          <w:rFonts w:ascii="Times New Roman" w:hAnsi="Times New Roman" w:cs="Times New Roman"/>
          <w:sz w:val="24"/>
          <w:szCs w:val="24"/>
        </w:rPr>
        <w:t xml:space="preserve"> and </w:t>
      </w:r>
      <w:r w:rsidRPr="00527754">
        <w:rPr>
          <w:rFonts w:ascii="Times New Roman" w:hAnsi="Times New Roman" w:cs="Times New Roman"/>
          <w:sz w:val="24"/>
          <w:szCs w:val="24"/>
        </w:rPr>
        <w:t>encourages educators to engage in data-informed efforts to repair and restore our educa</w:t>
      </w:r>
      <w:r>
        <w:rPr>
          <w:rFonts w:ascii="Times New Roman" w:hAnsi="Times New Roman" w:cs="Times New Roman"/>
          <w:sz w:val="24"/>
          <w:szCs w:val="24"/>
        </w:rPr>
        <w:t>tional systems.</w:t>
      </w:r>
    </w:p>
    <w:p w:rsidR="00AC4B8B" w:rsidRDefault="00AC4B8B" w:rsidP="00AC4B8B">
      <w:pPr>
        <w:spacing w:after="0" w:line="259" w:lineRule="auto"/>
        <w:rPr>
          <w:rFonts w:ascii="Times New Roman" w:hAnsi="Times New Roman" w:cs="Times New Roman"/>
          <w:sz w:val="24"/>
          <w:szCs w:val="24"/>
        </w:rPr>
      </w:pPr>
    </w:p>
    <w:p w:rsidR="00DC2F60" w:rsidRDefault="00DC2F60" w:rsidP="00DC2F60">
      <w:pPr>
        <w:spacing w:after="0" w:line="259" w:lineRule="auto"/>
        <w:ind w:left="180" w:firstLine="12"/>
        <w:rPr>
          <w:rFonts w:ascii="Times New Roman" w:hAnsi="Times New Roman" w:cs="Times New Roman"/>
          <w:sz w:val="24"/>
          <w:szCs w:val="24"/>
        </w:rPr>
      </w:pPr>
      <w:r>
        <w:rPr>
          <w:rFonts w:ascii="Times New Roman" w:hAnsi="Times New Roman" w:cs="Times New Roman"/>
          <w:sz w:val="24"/>
          <w:szCs w:val="24"/>
        </w:rPr>
        <w:t xml:space="preserve">The goals of this transformative work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to close equity gaps and dismantle systemic racism. To date, our Learning and Engagement Team has initiated the following projects:</w:t>
      </w:r>
    </w:p>
    <w:p w:rsidR="00AC4B8B" w:rsidRDefault="00AC4B8B" w:rsidP="00AC4B8B">
      <w:pPr>
        <w:spacing w:after="0" w:line="259" w:lineRule="auto"/>
        <w:rPr>
          <w:rFonts w:ascii="Times New Roman" w:hAnsi="Times New Roman" w:cs="Times New Roman"/>
          <w:sz w:val="24"/>
          <w:szCs w:val="24"/>
        </w:rPr>
      </w:pPr>
    </w:p>
    <w:p w:rsidR="00AC4B8B" w:rsidRDefault="00AC4B8B" w:rsidP="00DC2F60">
      <w:pPr>
        <w:spacing w:after="0" w:line="259" w:lineRule="auto"/>
        <w:ind w:left="180" w:firstLine="7"/>
        <w:rPr>
          <w:rFonts w:ascii="Times New Roman" w:hAnsi="Times New Roman" w:cs="Times New Roman"/>
          <w:sz w:val="24"/>
          <w:szCs w:val="24"/>
        </w:rPr>
      </w:pPr>
      <w:r w:rsidRPr="00DC2F60">
        <w:rPr>
          <w:rFonts w:ascii="Times New Roman" w:hAnsi="Times New Roman" w:cs="Times New Roman"/>
          <w:b/>
          <w:sz w:val="24"/>
          <w:szCs w:val="24"/>
          <w:u w:val="single"/>
        </w:rPr>
        <w:t>Personal</w:t>
      </w:r>
      <w:r>
        <w:rPr>
          <w:rFonts w:ascii="Times New Roman" w:hAnsi="Times New Roman" w:cs="Times New Roman"/>
          <w:sz w:val="24"/>
          <w:szCs w:val="24"/>
        </w:rPr>
        <w:t xml:space="preserve"> – </w:t>
      </w:r>
      <w:r w:rsidR="00DC2F60">
        <w:rPr>
          <w:rFonts w:ascii="Times New Roman" w:hAnsi="Times New Roman" w:cs="Times New Roman"/>
          <w:sz w:val="24"/>
          <w:szCs w:val="24"/>
        </w:rPr>
        <w:t>Critical</w:t>
      </w:r>
      <w:r>
        <w:rPr>
          <w:rFonts w:ascii="Times New Roman" w:hAnsi="Times New Roman" w:cs="Times New Roman"/>
          <w:sz w:val="24"/>
          <w:szCs w:val="24"/>
        </w:rPr>
        <w:t xml:space="preserve"> reflection, increasing self-awareness, priming foundational language, and acknowledging historical contexts.</w:t>
      </w:r>
    </w:p>
    <w:p w:rsidR="00DC2F60" w:rsidRDefault="00DC2F60" w:rsidP="00DC2F60">
      <w:pPr>
        <w:spacing w:after="0" w:line="259" w:lineRule="auto"/>
        <w:ind w:left="180" w:firstLine="12"/>
        <w:rPr>
          <w:rFonts w:ascii="Times New Roman" w:hAnsi="Times New Roman" w:cs="Times New Roman"/>
          <w:sz w:val="24"/>
          <w:szCs w:val="24"/>
        </w:rPr>
      </w:pPr>
    </w:p>
    <w:p w:rsidR="00DC2F60" w:rsidRDefault="00DC2F60" w:rsidP="00DC2F60">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Skyline Equity Institutes; </w:t>
      </w:r>
      <w:r w:rsidRPr="00DC2F60">
        <w:rPr>
          <w:rFonts w:ascii="Times New Roman" w:hAnsi="Times New Roman" w:cs="Times New Roman"/>
          <w:sz w:val="24"/>
          <w:szCs w:val="24"/>
        </w:rPr>
        <w:t xml:space="preserve">25 faculty and 2 administrators have participated </w:t>
      </w:r>
      <w:r>
        <w:rPr>
          <w:rFonts w:ascii="Times New Roman" w:hAnsi="Times New Roman" w:cs="Times New Roman"/>
          <w:sz w:val="24"/>
          <w:szCs w:val="24"/>
        </w:rPr>
        <w:t xml:space="preserve">these </w:t>
      </w:r>
      <w:proofErr w:type="gramStart"/>
      <w:r>
        <w:rPr>
          <w:rFonts w:ascii="Times New Roman" w:hAnsi="Times New Roman" w:cs="Times New Roman"/>
          <w:sz w:val="24"/>
          <w:szCs w:val="24"/>
        </w:rPr>
        <w:t>2.5</w:t>
      </w:r>
      <w:r w:rsidRPr="00DC2F60">
        <w:rPr>
          <w:rFonts w:ascii="Times New Roman" w:hAnsi="Times New Roman" w:cs="Times New Roman"/>
          <w:sz w:val="24"/>
          <w:szCs w:val="24"/>
        </w:rPr>
        <w:t xml:space="preserve"> day</w:t>
      </w:r>
      <w:proofErr w:type="gramEnd"/>
      <w:r w:rsidRPr="00DC2F60">
        <w:rPr>
          <w:rFonts w:ascii="Times New Roman" w:hAnsi="Times New Roman" w:cs="Times New Roman"/>
          <w:sz w:val="24"/>
          <w:szCs w:val="24"/>
        </w:rPr>
        <w:t xml:space="preserve"> </w:t>
      </w:r>
      <w:r>
        <w:rPr>
          <w:rFonts w:ascii="Times New Roman" w:hAnsi="Times New Roman" w:cs="Times New Roman"/>
          <w:sz w:val="24"/>
          <w:szCs w:val="24"/>
        </w:rPr>
        <w:t>workshops.</w:t>
      </w:r>
    </w:p>
    <w:p w:rsidR="00DC2F60" w:rsidRDefault="00DC2F60" w:rsidP="00DC2F60">
      <w:pPr>
        <w:pStyle w:val="ListParagraph"/>
        <w:numPr>
          <w:ilvl w:val="0"/>
          <w:numId w:val="2"/>
        </w:numPr>
        <w:spacing w:after="0" w:line="259" w:lineRule="auto"/>
        <w:rPr>
          <w:rFonts w:ascii="Times New Roman" w:hAnsi="Times New Roman" w:cs="Times New Roman"/>
          <w:sz w:val="24"/>
          <w:szCs w:val="24"/>
        </w:rPr>
      </w:pPr>
      <w:r w:rsidRPr="00DC2F60">
        <w:rPr>
          <w:rFonts w:ascii="Times New Roman" w:hAnsi="Times New Roman" w:cs="Times New Roman"/>
          <w:sz w:val="24"/>
          <w:szCs w:val="24"/>
        </w:rPr>
        <w:t>Coffee with Colleagues</w:t>
      </w:r>
      <w:r>
        <w:rPr>
          <w:rFonts w:ascii="Times New Roman" w:hAnsi="Times New Roman" w:cs="Times New Roman"/>
          <w:sz w:val="24"/>
          <w:szCs w:val="24"/>
        </w:rPr>
        <w:t xml:space="preserve"> is </w:t>
      </w:r>
      <w:r w:rsidR="00455A87">
        <w:rPr>
          <w:rFonts w:ascii="Times New Roman" w:hAnsi="Times New Roman" w:cs="Times New Roman"/>
          <w:sz w:val="24"/>
          <w:szCs w:val="24"/>
        </w:rPr>
        <w:t xml:space="preserve">a casual forum </w:t>
      </w:r>
      <w:r>
        <w:rPr>
          <w:rFonts w:ascii="Times New Roman" w:hAnsi="Times New Roman" w:cs="Times New Roman"/>
          <w:sz w:val="24"/>
          <w:szCs w:val="24"/>
        </w:rPr>
        <w:t xml:space="preserve">open to all of our campus community </w:t>
      </w:r>
      <w:r w:rsidRPr="00DC2F60">
        <w:rPr>
          <w:rFonts w:ascii="Times New Roman" w:hAnsi="Times New Roman" w:cs="Times New Roman"/>
          <w:sz w:val="24"/>
          <w:szCs w:val="24"/>
        </w:rPr>
        <w:t>to discuss campus issues and concerns as well as celebrate successes</w:t>
      </w:r>
      <w:r w:rsidR="00455A87">
        <w:rPr>
          <w:rFonts w:ascii="Times New Roman" w:hAnsi="Times New Roman" w:cs="Times New Roman"/>
          <w:sz w:val="24"/>
          <w:szCs w:val="24"/>
        </w:rPr>
        <w:t xml:space="preserve"> in the name of equity</w:t>
      </w:r>
      <w:r>
        <w:rPr>
          <w:rFonts w:ascii="Times New Roman" w:hAnsi="Times New Roman" w:cs="Times New Roman"/>
          <w:sz w:val="24"/>
          <w:szCs w:val="24"/>
        </w:rPr>
        <w:t>.</w:t>
      </w:r>
    </w:p>
    <w:p w:rsidR="00DC2F60" w:rsidRDefault="00DC2F60" w:rsidP="00DC2F60">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Convocations for Fall 2020 and Spring 2021 focused on communicating equity practices by renowned speakers, Dr. Kevin Kumashiro and Tim Wise, respectively.</w:t>
      </w:r>
    </w:p>
    <w:p w:rsidR="00DC2F60" w:rsidRDefault="00DC2F60" w:rsidP="00DC2F60">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Monthly book club open to all to discuss </w:t>
      </w:r>
      <w:proofErr w:type="spellStart"/>
      <w:r>
        <w:rPr>
          <w:rFonts w:ascii="Times New Roman" w:hAnsi="Times New Roman" w:cs="Times New Roman"/>
          <w:sz w:val="24"/>
          <w:szCs w:val="24"/>
        </w:rPr>
        <w:t>Ibram</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Kendi’s</w:t>
      </w:r>
      <w:proofErr w:type="spellEnd"/>
      <w:r>
        <w:rPr>
          <w:rFonts w:ascii="Times New Roman" w:hAnsi="Times New Roman" w:cs="Times New Roman"/>
          <w:sz w:val="24"/>
          <w:szCs w:val="24"/>
        </w:rPr>
        <w:t xml:space="preserve"> “How to be An Anti-Racist”</w:t>
      </w:r>
    </w:p>
    <w:p w:rsidR="00DC2F60" w:rsidRDefault="00DC2F60" w:rsidP="00DC2F60">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Student Life workshops focusing on anti-racism.</w:t>
      </w:r>
    </w:p>
    <w:p w:rsidR="00DC2F60" w:rsidRDefault="00DC2F60" w:rsidP="00AC4B8B">
      <w:pPr>
        <w:spacing w:after="0" w:line="259" w:lineRule="auto"/>
        <w:ind w:left="2875" w:hanging="2688"/>
        <w:rPr>
          <w:rFonts w:ascii="Times New Roman" w:hAnsi="Times New Roman" w:cs="Times New Roman"/>
          <w:sz w:val="24"/>
          <w:szCs w:val="24"/>
        </w:rPr>
      </w:pPr>
    </w:p>
    <w:p w:rsidR="00AC4B8B" w:rsidRDefault="00AC4B8B" w:rsidP="00DC2F60">
      <w:pPr>
        <w:spacing w:after="0" w:line="259" w:lineRule="auto"/>
        <w:ind w:left="180" w:firstLine="7"/>
        <w:rPr>
          <w:rFonts w:ascii="Times New Roman" w:hAnsi="Times New Roman" w:cs="Times New Roman"/>
          <w:sz w:val="24"/>
          <w:szCs w:val="24"/>
        </w:rPr>
      </w:pPr>
      <w:r w:rsidRPr="00DC2F60">
        <w:rPr>
          <w:rFonts w:ascii="Times New Roman" w:hAnsi="Times New Roman" w:cs="Times New Roman"/>
          <w:b/>
          <w:sz w:val="24"/>
          <w:szCs w:val="24"/>
          <w:u w:val="single"/>
        </w:rPr>
        <w:t>Professional</w:t>
      </w:r>
      <w:r>
        <w:rPr>
          <w:rFonts w:ascii="Times New Roman" w:hAnsi="Times New Roman" w:cs="Times New Roman"/>
          <w:sz w:val="24"/>
          <w:szCs w:val="24"/>
        </w:rPr>
        <w:t xml:space="preserve"> –</w:t>
      </w:r>
      <w:r w:rsidR="00DC2F60">
        <w:rPr>
          <w:rFonts w:ascii="Times New Roman" w:hAnsi="Times New Roman" w:cs="Times New Roman"/>
          <w:sz w:val="24"/>
          <w:szCs w:val="24"/>
        </w:rPr>
        <w:t xml:space="preserve"> </w:t>
      </w:r>
      <w:r>
        <w:rPr>
          <w:rFonts w:ascii="Times New Roman" w:hAnsi="Times New Roman" w:cs="Times New Roman"/>
          <w:sz w:val="24"/>
          <w:szCs w:val="24"/>
        </w:rPr>
        <w:t>Reflect on classroom and curricular processes, equity-minded curriculum delivery, and creating a more inclusive classroom environment</w:t>
      </w:r>
    </w:p>
    <w:p w:rsidR="00DC2F60" w:rsidRPr="00AA3672" w:rsidRDefault="00DC2F60" w:rsidP="00DC2F60">
      <w:pPr>
        <w:spacing w:after="0" w:line="259" w:lineRule="auto"/>
        <w:ind w:left="180" w:firstLine="7"/>
        <w:rPr>
          <w:rFonts w:ascii="Times New Roman" w:hAnsi="Times New Roman" w:cs="Times New Roman"/>
          <w:sz w:val="24"/>
          <w:szCs w:val="24"/>
        </w:rPr>
      </w:pPr>
    </w:p>
    <w:p w:rsidR="00AA3672" w:rsidRPr="00AA3672" w:rsidRDefault="00AA3672" w:rsidP="00AA3672">
      <w:pPr>
        <w:pStyle w:val="ListParagraph"/>
        <w:numPr>
          <w:ilvl w:val="0"/>
          <w:numId w:val="2"/>
        </w:numPr>
        <w:spacing w:after="0" w:line="259" w:lineRule="auto"/>
        <w:rPr>
          <w:rFonts w:ascii="Times New Roman" w:hAnsi="Times New Roman" w:cs="Times New Roman"/>
          <w:sz w:val="24"/>
          <w:szCs w:val="24"/>
        </w:rPr>
      </w:pPr>
      <w:r w:rsidRPr="00AA3672">
        <w:rPr>
          <w:rFonts w:ascii="Times New Roman" w:hAnsi="Times New Roman" w:cs="Times New Roman"/>
          <w:sz w:val="24"/>
          <w:szCs w:val="24"/>
        </w:rPr>
        <w:t>Participation in the USC Equity Alliance Leadership</w:t>
      </w:r>
    </w:p>
    <w:p w:rsidR="00AA3672" w:rsidRDefault="00AA367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Equity in Action Allies monthly meetings open to faculty and classified</w:t>
      </w:r>
    </w:p>
    <w:p w:rsidR="00455A87" w:rsidRDefault="00455A87"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Folded many of our 'equity allies’ into the CAGP NCII Leadership webinar series.</w:t>
      </w:r>
    </w:p>
    <w:p w:rsidR="00AA3672" w:rsidRDefault="00AA367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New Faculty Institute informing on transformative syllabi, </w:t>
      </w:r>
      <w:r w:rsidR="00455A87">
        <w:rPr>
          <w:rFonts w:ascii="Times New Roman" w:hAnsi="Times New Roman" w:cs="Times New Roman"/>
          <w:sz w:val="24"/>
          <w:szCs w:val="24"/>
        </w:rPr>
        <w:t xml:space="preserve">data-driven inquiry, </w:t>
      </w:r>
      <w:r>
        <w:rPr>
          <w:rFonts w:ascii="Times New Roman" w:hAnsi="Times New Roman" w:cs="Times New Roman"/>
          <w:sz w:val="24"/>
          <w:szCs w:val="24"/>
        </w:rPr>
        <w:t>lesson planning, equitable grading and course content. Twenty faculty have contributed 15 hours to this training.</w:t>
      </w:r>
    </w:p>
    <w:p w:rsidR="00AA3672" w:rsidRDefault="00B9292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Developing a </w:t>
      </w:r>
      <w:r w:rsidR="00BA1AE1">
        <w:rPr>
          <w:rFonts w:ascii="Times New Roman" w:hAnsi="Times New Roman" w:cs="Times New Roman"/>
          <w:sz w:val="24"/>
          <w:szCs w:val="24"/>
        </w:rPr>
        <w:t>local culturally-responsive curriculum audit program (Anti-racist, Equity Practitioner Data-informed, etc.)</w:t>
      </w:r>
    </w:p>
    <w:p w:rsidR="00AA3672" w:rsidRDefault="00B9292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Exploring a district-wide </w:t>
      </w:r>
      <w:r w:rsidR="00AA3672">
        <w:rPr>
          <w:rFonts w:ascii="Times New Roman" w:hAnsi="Times New Roman" w:cs="Times New Roman"/>
          <w:sz w:val="24"/>
          <w:szCs w:val="24"/>
        </w:rPr>
        <w:t>Faculty Equity Certificate</w:t>
      </w:r>
      <w:r w:rsidR="00BA1AE1">
        <w:rPr>
          <w:rFonts w:ascii="Times New Roman" w:hAnsi="Times New Roman" w:cs="Times New Roman"/>
          <w:sz w:val="24"/>
          <w:szCs w:val="24"/>
        </w:rPr>
        <w:t xml:space="preserve"> with our sister institution</w:t>
      </w:r>
    </w:p>
    <w:p w:rsidR="00AA3672" w:rsidRDefault="00AA367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Collaboration with Professional Development to create meaningful workshops</w:t>
      </w:r>
    </w:p>
    <w:p w:rsidR="00AA3672" w:rsidRDefault="00AA3672" w:rsidP="00AA3672">
      <w:pPr>
        <w:spacing w:after="0" w:line="259" w:lineRule="auto"/>
        <w:rPr>
          <w:rFonts w:ascii="Times New Roman" w:hAnsi="Times New Roman" w:cs="Times New Roman"/>
          <w:sz w:val="24"/>
          <w:szCs w:val="24"/>
        </w:rPr>
      </w:pPr>
    </w:p>
    <w:p w:rsidR="00AC4B8B" w:rsidRDefault="00AC4B8B" w:rsidP="00AC4B8B">
      <w:pPr>
        <w:spacing w:after="0" w:line="259" w:lineRule="auto"/>
        <w:ind w:left="2875" w:hanging="2688"/>
        <w:rPr>
          <w:rFonts w:ascii="Times New Roman" w:hAnsi="Times New Roman" w:cs="Times New Roman"/>
          <w:sz w:val="24"/>
          <w:szCs w:val="24"/>
        </w:rPr>
      </w:pPr>
      <w:r w:rsidRPr="00DC2F60">
        <w:rPr>
          <w:rFonts w:ascii="Times New Roman" w:hAnsi="Times New Roman" w:cs="Times New Roman"/>
          <w:b/>
          <w:sz w:val="24"/>
          <w:szCs w:val="24"/>
          <w:u w:val="single"/>
        </w:rPr>
        <w:t>Systemic</w:t>
      </w:r>
      <w:r>
        <w:rPr>
          <w:rFonts w:ascii="Times New Roman" w:hAnsi="Times New Roman" w:cs="Times New Roman"/>
          <w:sz w:val="24"/>
          <w:szCs w:val="24"/>
        </w:rPr>
        <w:t xml:space="preserve"> – Reflecting on inequitable campus cultures, planning practices, and policies</w:t>
      </w:r>
      <w:r w:rsidR="00AA3672">
        <w:rPr>
          <w:rFonts w:ascii="Times New Roman" w:hAnsi="Times New Roman" w:cs="Times New Roman"/>
          <w:sz w:val="24"/>
          <w:szCs w:val="24"/>
        </w:rPr>
        <w:t>.</w:t>
      </w:r>
    </w:p>
    <w:p w:rsidR="00AA3672" w:rsidRDefault="00AA3672" w:rsidP="00AC4B8B">
      <w:pPr>
        <w:spacing w:after="0" w:line="259" w:lineRule="auto"/>
        <w:ind w:left="2875" w:hanging="2688"/>
        <w:rPr>
          <w:rFonts w:ascii="Times New Roman" w:hAnsi="Times New Roman" w:cs="Times New Roman"/>
          <w:sz w:val="24"/>
          <w:szCs w:val="24"/>
        </w:rPr>
      </w:pPr>
    </w:p>
    <w:p w:rsidR="00AA3672" w:rsidRDefault="00AA367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Ongoing engagement in the California Guided Pathways Project.</w:t>
      </w:r>
    </w:p>
    <w:p w:rsidR="00AA3672" w:rsidRDefault="00AA367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Formation of the Academic Senate Anti-Racism Workgroup.</w:t>
      </w:r>
    </w:p>
    <w:p w:rsidR="00AA3672" w:rsidRDefault="00AA367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Participation in the USC Campus Climate Survey.</w:t>
      </w:r>
    </w:p>
    <w:p w:rsidR="00AA3672" w:rsidRDefault="00AA367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Establishment of reporting portal for bias and microaggressions experienced by students and staff.</w:t>
      </w:r>
    </w:p>
    <w:p w:rsidR="00AA3672" w:rsidRDefault="00AA367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Taskforce created to update College’s Equity Plan.</w:t>
      </w:r>
    </w:p>
    <w:p w:rsidR="00AA3672" w:rsidRDefault="00AA3672" w:rsidP="00AA3672">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Establishment and distribution of AB 943 Student Emergency Funds.</w:t>
      </w:r>
    </w:p>
    <w:p w:rsidR="00DC2F60" w:rsidRDefault="00AA3672" w:rsidP="005B5FFE">
      <w:pPr>
        <w:pStyle w:val="ListParagraph"/>
        <w:numPr>
          <w:ilvl w:val="0"/>
          <w:numId w:val="2"/>
        </w:num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Academic Senate </w:t>
      </w:r>
      <w:r w:rsidR="005B5FFE">
        <w:rPr>
          <w:rFonts w:ascii="Times New Roman" w:hAnsi="Times New Roman" w:cs="Times New Roman"/>
          <w:sz w:val="24"/>
          <w:szCs w:val="24"/>
        </w:rPr>
        <w:t>approval of Resolution Committing to Anti-racism, Anti-sexism, and Anti-oppression.</w:t>
      </w:r>
    </w:p>
    <w:p w:rsidR="00897BA8" w:rsidRPr="005B5FFE" w:rsidRDefault="00897BA8" w:rsidP="00897BA8">
      <w:pPr>
        <w:pStyle w:val="ListParagraph"/>
        <w:spacing w:after="0" w:line="259" w:lineRule="auto"/>
        <w:ind w:left="555" w:firstLine="0"/>
        <w:rPr>
          <w:rFonts w:ascii="Times New Roman" w:hAnsi="Times New Roman" w:cs="Times New Roman"/>
          <w:sz w:val="24"/>
          <w:szCs w:val="24"/>
        </w:rPr>
      </w:pPr>
    </w:p>
    <w:tbl>
      <w:tblPr>
        <w:tblStyle w:val="TableGrid"/>
        <w:tblW w:w="0" w:type="auto"/>
        <w:tblInd w:w="196" w:type="dxa"/>
        <w:tblLook w:val="04A0" w:firstRow="1" w:lastRow="0" w:firstColumn="1" w:lastColumn="0" w:noHBand="0" w:noVBand="1"/>
      </w:tblPr>
      <w:tblGrid>
        <w:gridCol w:w="2285"/>
        <w:gridCol w:w="2270"/>
        <w:gridCol w:w="2271"/>
        <w:gridCol w:w="2308"/>
      </w:tblGrid>
      <w:tr w:rsidR="00897BA8" w:rsidTr="00136952">
        <w:tc>
          <w:tcPr>
            <w:tcW w:w="2337" w:type="dxa"/>
            <w:tcBorders>
              <w:top w:val="double" w:sz="4" w:space="0" w:color="auto"/>
              <w:left w:val="double" w:sz="4" w:space="0" w:color="auto"/>
              <w:bottom w:val="double" w:sz="4" w:space="0" w:color="auto"/>
              <w:right w:val="double" w:sz="4" w:space="0" w:color="auto"/>
            </w:tcBorders>
          </w:tcPr>
          <w:p w:rsidR="00897BA8" w:rsidRDefault="00897BA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Activity</w:t>
            </w:r>
          </w:p>
        </w:tc>
        <w:tc>
          <w:tcPr>
            <w:tcW w:w="2337" w:type="dxa"/>
            <w:tcBorders>
              <w:top w:val="double" w:sz="4" w:space="0" w:color="auto"/>
              <w:left w:val="double" w:sz="4" w:space="0" w:color="auto"/>
              <w:bottom w:val="double" w:sz="4" w:space="0" w:color="auto"/>
              <w:right w:val="double" w:sz="4" w:space="0" w:color="auto"/>
            </w:tcBorders>
          </w:tcPr>
          <w:p w:rsidR="00897BA8" w:rsidRDefault="00897BA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Responsible Party</w:t>
            </w:r>
          </w:p>
        </w:tc>
        <w:tc>
          <w:tcPr>
            <w:tcW w:w="2338" w:type="dxa"/>
            <w:tcBorders>
              <w:top w:val="double" w:sz="4" w:space="0" w:color="auto"/>
              <w:left w:val="double" w:sz="4" w:space="0" w:color="auto"/>
              <w:bottom w:val="double" w:sz="4" w:space="0" w:color="auto"/>
              <w:right w:val="double" w:sz="4" w:space="0" w:color="auto"/>
            </w:tcBorders>
          </w:tcPr>
          <w:p w:rsidR="00897BA8" w:rsidRDefault="00897BA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Resources</w:t>
            </w:r>
          </w:p>
        </w:tc>
        <w:tc>
          <w:tcPr>
            <w:tcW w:w="2338" w:type="dxa"/>
            <w:tcBorders>
              <w:top w:val="double" w:sz="4" w:space="0" w:color="auto"/>
              <w:left w:val="double" w:sz="4" w:space="0" w:color="auto"/>
              <w:bottom w:val="double" w:sz="4" w:space="0" w:color="auto"/>
              <w:right w:val="double" w:sz="4" w:space="0" w:color="auto"/>
            </w:tcBorders>
          </w:tcPr>
          <w:p w:rsidR="00897BA8" w:rsidRDefault="00897BA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Timeline</w:t>
            </w:r>
          </w:p>
        </w:tc>
      </w:tr>
      <w:tr w:rsidR="00897BA8" w:rsidTr="00136952">
        <w:tc>
          <w:tcPr>
            <w:tcW w:w="2337" w:type="dxa"/>
            <w:tcBorders>
              <w:top w:val="double" w:sz="4" w:space="0" w:color="auto"/>
            </w:tcBorders>
          </w:tcPr>
          <w:p w:rsidR="00897BA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Personal – critical reflection, increasing self-awareness, priming foundational language, and acknowledging historical contexts</w:t>
            </w:r>
          </w:p>
        </w:tc>
        <w:tc>
          <w:tcPr>
            <w:tcW w:w="2337" w:type="dxa"/>
            <w:tcBorders>
              <w:top w:val="double" w:sz="4" w:space="0" w:color="auto"/>
            </w:tcBorders>
          </w:tcPr>
          <w:p w:rsidR="00897BA8" w:rsidRDefault="00866E9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Learning &amp; Engagement Team</w:t>
            </w:r>
          </w:p>
          <w:p w:rsidR="00866E91" w:rsidRDefault="00866E91" w:rsidP="00136952">
            <w:pPr>
              <w:spacing w:after="0" w:line="259" w:lineRule="auto"/>
              <w:ind w:left="0" w:firstLine="0"/>
              <w:rPr>
                <w:rFonts w:ascii="Times New Roman" w:hAnsi="Times New Roman" w:cs="Times New Roman"/>
                <w:sz w:val="24"/>
                <w:szCs w:val="24"/>
              </w:rPr>
            </w:pPr>
          </w:p>
          <w:p w:rsidR="00866E91" w:rsidRDefault="00866E9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Professional Development</w:t>
            </w:r>
          </w:p>
        </w:tc>
        <w:tc>
          <w:tcPr>
            <w:tcW w:w="2338" w:type="dxa"/>
            <w:tcBorders>
              <w:top w:val="double" w:sz="4" w:space="0" w:color="auto"/>
            </w:tcBorders>
          </w:tcPr>
          <w:p w:rsidR="00897BA8" w:rsidRDefault="00866E9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Professional Development</w:t>
            </w:r>
          </w:p>
          <w:p w:rsidR="00455A87" w:rsidRDefault="00455A87"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br/>
              <w:t>Equity Funds</w:t>
            </w:r>
          </w:p>
        </w:tc>
        <w:tc>
          <w:tcPr>
            <w:tcW w:w="2338" w:type="dxa"/>
            <w:tcBorders>
              <w:top w:val="double" w:sz="4" w:space="0" w:color="auto"/>
            </w:tcBorders>
          </w:tcPr>
          <w:p w:rsidR="00897BA8" w:rsidRDefault="00455A87"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Semester basis – ongoing/evolving.</w:t>
            </w:r>
          </w:p>
        </w:tc>
      </w:tr>
      <w:tr w:rsidR="00897BA8" w:rsidTr="00136952">
        <w:tc>
          <w:tcPr>
            <w:tcW w:w="2337" w:type="dxa"/>
          </w:tcPr>
          <w:p w:rsidR="00897BA8" w:rsidRDefault="00AB0638"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Professional</w:t>
            </w:r>
            <w:r w:rsidR="00866E91">
              <w:rPr>
                <w:rFonts w:ascii="Times New Roman" w:hAnsi="Times New Roman" w:cs="Times New Roman"/>
                <w:sz w:val="24"/>
                <w:szCs w:val="24"/>
              </w:rPr>
              <w:t xml:space="preserve"> </w:t>
            </w:r>
            <w:proofErr w:type="gramStart"/>
            <w:r w:rsidR="00866E91">
              <w:rPr>
                <w:rFonts w:ascii="Times New Roman" w:hAnsi="Times New Roman" w:cs="Times New Roman"/>
                <w:sz w:val="24"/>
                <w:szCs w:val="24"/>
              </w:rPr>
              <w:t>–  r</w:t>
            </w:r>
            <w:r>
              <w:rPr>
                <w:rFonts w:ascii="Times New Roman" w:hAnsi="Times New Roman" w:cs="Times New Roman"/>
                <w:sz w:val="24"/>
                <w:szCs w:val="24"/>
              </w:rPr>
              <w:t>eflect</w:t>
            </w:r>
            <w:proofErr w:type="gramEnd"/>
            <w:r>
              <w:rPr>
                <w:rFonts w:ascii="Times New Roman" w:hAnsi="Times New Roman" w:cs="Times New Roman"/>
                <w:sz w:val="24"/>
                <w:szCs w:val="24"/>
              </w:rPr>
              <w:t xml:space="preserve"> on classroom and curricular processes, equity-minded curriculum delivery, and creating a more inclusive classroom environment</w:t>
            </w:r>
          </w:p>
        </w:tc>
        <w:tc>
          <w:tcPr>
            <w:tcW w:w="2337" w:type="dxa"/>
          </w:tcPr>
          <w:p w:rsidR="00897BA8" w:rsidRDefault="00866E9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Learning &amp; Engagement Team</w:t>
            </w:r>
          </w:p>
          <w:p w:rsidR="00866E91" w:rsidRDefault="00866E91" w:rsidP="00136952">
            <w:pPr>
              <w:spacing w:after="0" w:line="259" w:lineRule="auto"/>
              <w:ind w:left="0" w:firstLine="0"/>
              <w:rPr>
                <w:rFonts w:ascii="Times New Roman" w:hAnsi="Times New Roman" w:cs="Times New Roman"/>
                <w:sz w:val="24"/>
                <w:szCs w:val="24"/>
              </w:rPr>
            </w:pPr>
          </w:p>
          <w:p w:rsidR="00866E91" w:rsidRDefault="00866E9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Professional Development</w:t>
            </w:r>
          </w:p>
        </w:tc>
        <w:tc>
          <w:tcPr>
            <w:tcW w:w="2338" w:type="dxa"/>
          </w:tcPr>
          <w:p w:rsidR="00897BA8" w:rsidRDefault="0047598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Professional Development</w:t>
            </w:r>
          </w:p>
        </w:tc>
        <w:tc>
          <w:tcPr>
            <w:tcW w:w="2338" w:type="dxa"/>
          </w:tcPr>
          <w:p w:rsidR="00897BA8" w:rsidRDefault="00455A87"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Semester basis – with annual goals.</w:t>
            </w:r>
          </w:p>
          <w:p w:rsidR="00455A87" w:rsidRDefault="00455A87" w:rsidP="00136952">
            <w:pPr>
              <w:spacing w:after="0" w:line="259" w:lineRule="auto"/>
              <w:ind w:left="0" w:firstLine="0"/>
              <w:rPr>
                <w:rFonts w:ascii="Times New Roman" w:hAnsi="Times New Roman" w:cs="Times New Roman"/>
                <w:sz w:val="24"/>
                <w:szCs w:val="24"/>
              </w:rPr>
            </w:pPr>
          </w:p>
          <w:p w:rsidR="00455A87" w:rsidRDefault="00455A87"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Planning to launch first equity cohort in fall 2021.</w:t>
            </w:r>
          </w:p>
        </w:tc>
      </w:tr>
      <w:tr w:rsidR="00897BA8" w:rsidTr="00136952">
        <w:tc>
          <w:tcPr>
            <w:tcW w:w="2337" w:type="dxa"/>
          </w:tcPr>
          <w:p w:rsidR="00897BA8" w:rsidRDefault="00866E9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Systemic – r</w:t>
            </w:r>
            <w:r w:rsidR="00AB0638">
              <w:rPr>
                <w:rFonts w:ascii="Times New Roman" w:hAnsi="Times New Roman" w:cs="Times New Roman"/>
                <w:sz w:val="24"/>
                <w:szCs w:val="24"/>
              </w:rPr>
              <w:t>eflecting on inequitable campus cultures, planning practices, and policies</w:t>
            </w:r>
          </w:p>
        </w:tc>
        <w:tc>
          <w:tcPr>
            <w:tcW w:w="2337" w:type="dxa"/>
          </w:tcPr>
          <w:p w:rsidR="00897BA8" w:rsidRDefault="00866E9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Learning &amp; Engagement Team</w:t>
            </w:r>
          </w:p>
          <w:p w:rsidR="00475981" w:rsidRDefault="00475981" w:rsidP="00136952">
            <w:pPr>
              <w:spacing w:after="0" w:line="259" w:lineRule="auto"/>
              <w:ind w:left="0" w:firstLine="0"/>
              <w:rPr>
                <w:rFonts w:ascii="Times New Roman" w:hAnsi="Times New Roman" w:cs="Times New Roman"/>
                <w:sz w:val="24"/>
                <w:szCs w:val="24"/>
              </w:rPr>
            </w:pPr>
          </w:p>
          <w:p w:rsidR="00475981" w:rsidRDefault="0047598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Academic Senate</w:t>
            </w:r>
          </w:p>
          <w:p w:rsidR="000E11C6" w:rsidRDefault="000E11C6" w:rsidP="00136952">
            <w:pPr>
              <w:spacing w:after="0" w:line="259" w:lineRule="auto"/>
              <w:ind w:left="0" w:firstLine="0"/>
              <w:rPr>
                <w:rFonts w:ascii="Times New Roman" w:hAnsi="Times New Roman" w:cs="Times New Roman"/>
                <w:sz w:val="24"/>
                <w:szCs w:val="24"/>
              </w:rPr>
            </w:pPr>
          </w:p>
          <w:p w:rsidR="000E11C6" w:rsidRDefault="000E11C6"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College Council</w:t>
            </w:r>
          </w:p>
          <w:p w:rsidR="00866E91" w:rsidRDefault="00866E91" w:rsidP="00136952">
            <w:pPr>
              <w:spacing w:after="0" w:line="259" w:lineRule="auto"/>
              <w:ind w:left="0" w:firstLine="0"/>
              <w:rPr>
                <w:rFonts w:ascii="Times New Roman" w:hAnsi="Times New Roman" w:cs="Times New Roman"/>
                <w:sz w:val="24"/>
                <w:szCs w:val="24"/>
              </w:rPr>
            </w:pPr>
          </w:p>
          <w:p w:rsidR="00866E91" w:rsidRDefault="00866E9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Professional Development</w:t>
            </w:r>
          </w:p>
        </w:tc>
        <w:tc>
          <w:tcPr>
            <w:tcW w:w="2338" w:type="dxa"/>
          </w:tcPr>
          <w:p w:rsidR="00897BA8" w:rsidRDefault="0047598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Distance Education Office</w:t>
            </w:r>
          </w:p>
          <w:p w:rsidR="00475981" w:rsidRDefault="00475981" w:rsidP="00136952">
            <w:pPr>
              <w:spacing w:after="0" w:line="259" w:lineRule="auto"/>
              <w:ind w:left="0" w:firstLine="0"/>
              <w:rPr>
                <w:rFonts w:ascii="Times New Roman" w:hAnsi="Times New Roman" w:cs="Times New Roman"/>
                <w:sz w:val="24"/>
                <w:szCs w:val="24"/>
              </w:rPr>
            </w:pPr>
          </w:p>
          <w:p w:rsidR="00475981" w:rsidRDefault="00475981"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Professional Development</w:t>
            </w:r>
          </w:p>
        </w:tc>
        <w:tc>
          <w:tcPr>
            <w:tcW w:w="2338" w:type="dxa"/>
          </w:tcPr>
          <w:p w:rsidR="00897BA8" w:rsidRDefault="00455A87" w:rsidP="00136952">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Semester basis – with annual goals.</w:t>
            </w:r>
          </w:p>
        </w:tc>
      </w:tr>
    </w:tbl>
    <w:p w:rsidR="00527754" w:rsidRDefault="00527754" w:rsidP="00D33C37">
      <w:pPr>
        <w:spacing w:after="0" w:line="259" w:lineRule="auto"/>
        <w:ind w:left="0" w:firstLine="0"/>
        <w:rPr>
          <w:rFonts w:ascii="Times New Roman" w:hAnsi="Times New Roman" w:cs="Times New Roman"/>
          <w:sz w:val="24"/>
          <w:szCs w:val="24"/>
        </w:rPr>
      </w:pPr>
    </w:p>
    <w:p w:rsidR="006F42B9" w:rsidRDefault="006F42B9" w:rsidP="006F42B9">
      <w:pPr>
        <w:spacing w:after="0" w:line="259" w:lineRule="auto"/>
        <w:rPr>
          <w:rFonts w:ascii="Times New Roman" w:hAnsi="Times New Roman" w:cs="Times New Roman"/>
          <w:sz w:val="24"/>
          <w:szCs w:val="24"/>
        </w:rPr>
      </w:pPr>
      <w:r>
        <w:rPr>
          <w:rFonts w:ascii="Times New Roman" w:hAnsi="Times New Roman" w:cs="Times New Roman"/>
          <w:b/>
          <w:sz w:val="24"/>
          <w:szCs w:val="24"/>
        </w:rPr>
        <w:t xml:space="preserve">Guided Pathways </w:t>
      </w:r>
      <w:r w:rsidR="00645745" w:rsidRPr="004731D1">
        <w:rPr>
          <w:rFonts w:ascii="Times New Roman" w:hAnsi="Times New Roman" w:cs="Times New Roman"/>
          <w:b/>
          <w:sz w:val="24"/>
          <w:szCs w:val="24"/>
        </w:rPr>
        <w:t xml:space="preserve">Scale of Adoption </w:t>
      </w:r>
      <w:r>
        <w:rPr>
          <w:rFonts w:ascii="Times New Roman" w:hAnsi="Times New Roman" w:cs="Times New Roman"/>
          <w:b/>
          <w:sz w:val="24"/>
          <w:szCs w:val="24"/>
        </w:rPr>
        <w:t xml:space="preserve">Assessment </w:t>
      </w:r>
      <w:r w:rsidR="00645745" w:rsidRPr="004731D1">
        <w:rPr>
          <w:rFonts w:ascii="Times New Roman" w:hAnsi="Times New Roman" w:cs="Times New Roman"/>
          <w:b/>
          <w:sz w:val="24"/>
          <w:szCs w:val="24"/>
        </w:rPr>
        <w:t xml:space="preserve">Essential Practices Supported by </w:t>
      </w:r>
      <w:r w:rsidR="00645745">
        <w:rPr>
          <w:rFonts w:ascii="Times New Roman" w:hAnsi="Times New Roman" w:cs="Times New Roman"/>
          <w:b/>
          <w:sz w:val="24"/>
          <w:szCs w:val="24"/>
        </w:rPr>
        <w:t>Project #3 – Learning &amp; Engagement Equity Team</w:t>
      </w:r>
      <w:r w:rsidR="00645745" w:rsidRPr="004731D1">
        <w:rPr>
          <w:rFonts w:ascii="Times New Roman" w:hAnsi="Times New Roman" w:cs="Times New Roman"/>
          <w:b/>
          <w:sz w:val="24"/>
          <w:szCs w:val="24"/>
        </w:rPr>
        <w:t>:</w:t>
      </w:r>
    </w:p>
    <w:p w:rsidR="006F42B9" w:rsidRDefault="006F42B9" w:rsidP="006F42B9">
      <w:pPr>
        <w:spacing w:after="0" w:line="259" w:lineRule="auto"/>
        <w:rPr>
          <w:rFonts w:ascii="Times New Roman" w:hAnsi="Times New Roman" w:cs="Times New Roman"/>
          <w:sz w:val="24"/>
          <w:szCs w:val="24"/>
        </w:rPr>
      </w:pPr>
    </w:p>
    <w:p w:rsidR="006F42B9" w:rsidRDefault="006F42B9" w:rsidP="006F42B9">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Instruction across programs (especially introductory courses) engages students in active and applied learning, encouraging them to think critically, solve meaningful problems, and work and communicate effectively with others. – Currently </w:t>
      </w:r>
      <w:r w:rsidRPr="005A0595">
        <w:rPr>
          <w:rFonts w:ascii="Times New Roman" w:hAnsi="Times New Roman" w:cs="Times New Roman"/>
          <w:b/>
          <w:i/>
          <w:sz w:val="24"/>
          <w:szCs w:val="24"/>
        </w:rPr>
        <w:t>Planning to Scale</w:t>
      </w:r>
      <w:r>
        <w:rPr>
          <w:rFonts w:ascii="Times New Roman" w:hAnsi="Times New Roman" w:cs="Times New Roman"/>
          <w:sz w:val="24"/>
          <w:szCs w:val="24"/>
        </w:rPr>
        <w:t xml:space="preserve"> at Santa Ana College.</w:t>
      </w:r>
    </w:p>
    <w:p w:rsidR="006F42B9" w:rsidRDefault="006F42B9" w:rsidP="006F42B9">
      <w:pPr>
        <w:spacing w:after="0" w:line="259" w:lineRule="auto"/>
        <w:rPr>
          <w:rFonts w:ascii="Times New Roman" w:hAnsi="Times New Roman" w:cs="Times New Roman"/>
          <w:sz w:val="24"/>
          <w:szCs w:val="24"/>
        </w:rPr>
      </w:pPr>
    </w:p>
    <w:p w:rsidR="006F42B9" w:rsidRDefault="006F42B9" w:rsidP="006F42B9">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Students have ample opportunity to apply and deepen knowledge and skills through projects, internships, co-ops, clinical placements, group projects outside of class, service learning, study abroad, and other experiential activities that program faculty intentionally embed into coursework. – Currently </w:t>
      </w:r>
      <w:r w:rsidRPr="005A0595">
        <w:rPr>
          <w:rFonts w:ascii="Times New Roman" w:hAnsi="Times New Roman" w:cs="Times New Roman"/>
          <w:b/>
          <w:i/>
          <w:sz w:val="24"/>
          <w:szCs w:val="24"/>
        </w:rPr>
        <w:t>Planning to Scale</w:t>
      </w:r>
      <w:r>
        <w:rPr>
          <w:rFonts w:ascii="Times New Roman" w:hAnsi="Times New Roman" w:cs="Times New Roman"/>
          <w:sz w:val="24"/>
          <w:szCs w:val="24"/>
        </w:rPr>
        <w:t xml:space="preserve"> at Santa Ana College.</w:t>
      </w:r>
    </w:p>
    <w:p w:rsidR="006F42B9" w:rsidRDefault="006F42B9" w:rsidP="006F42B9">
      <w:pPr>
        <w:spacing w:after="0" w:line="259" w:lineRule="auto"/>
        <w:rPr>
          <w:rFonts w:ascii="Times New Roman" w:hAnsi="Times New Roman" w:cs="Times New Roman"/>
          <w:sz w:val="24"/>
          <w:szCs w:val="24"/>
        </w:rPr>
      </w:pPr>
    </w:p>
    <w:p w:rsidR="00645745" w:rsidRPr="005A0595" w:rsidRDefault="006F42B9" w:rsidP="005A0595">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Results of learning outcomes assessments are used to improve teaching and learning through program review, professional development, and other intentional campus efforts. – Currently </w:t>
      </w:r>
      <w:r w:rsidRPr="005A0595">
        <w:rPr>
          <w:rFonts w:ascii="Times New Roman" w:hAnsi="Times New Roman" w:cs="Times New Roman"/>
          <w:b/>
          <w:i/>
          <w:sz w:val="24"/>
          <w:szCs w:val="24"/>
        </w:rPr>
        <w:t>Not Systematic</w:t>
      </w:r>
      <w:r>
        <w:rPr>
          <w:rFonts w:ascii="Times New Roman" w:hAnsi="Times New Roman" w:cs="Times New Roman"/>
          <w:sz w:val="24"/>
          <w:szCs w:val="24"/>
        </w:rPr>
        <w:t xml:space="preserve"> at Santa Ana College.</w:t>
      </w:r>
    </w:p>
    <w:p w:rsidR="00645745" w:rsidRDefault="00645745" w:rsidP="00D33C37">
      <w:pPr>
        <w:spacing w:after="0" w:line="259" w:lineRule="auto"/>
        <w:ind w:left="0" w:firstLine="0"/>
        <w:rPr>
          <w:rFonts w:ascii="Times New Roman" w:hAnsi="Times New Roman" w:cs="Times New Roman"/>
          <w:sz w:val="24"/>
          <w:szCs w:val="24"/>
        </w:rPr>
      </w:pPr>
    </w:p>
    <w:sectPr w:rsidR="00645745" w:rsidSect="00C42B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805" w:rsidRDefault="00541805" w:rsidP="007A0B4E">
      <w:pPr>
        <w:spacing w:after="0" w:line="240" w:lineRule="auto"/>
      </w:pPr>
      <w:r>
        <w:separator/>
      </w:r>
    </w:p>
  </w:endnote>
  <w:endnote w:type="continuationSeparator" w:id="0">
    <w:p w:rsidR="00541805" w:rsidRDefault="00541805" w:rsidP="007A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B4E" w:rsidRDefault="007A0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B4E" w:rsidRDefault="007A0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B4E" w:rsidRDefault="007A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805" w:rsidRDefault="00541805" w:rsidP="007A0B4E">
      <w:pPr>
        <w:spacing w:after="0" w:line="240" w:lineRule="auto"/>
      </w:pPr>
      <w:r>
        <w:separator/>
      </w:r>
    </w:p>
  </w:footnote>
  <w:footnote w:type="continuationSeparator" w:id="0">
    <w:p w:rsidR="00541805" w:rsidRDefault="00541805" w:rsidP="007A0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B4E" w:rsidRDefault="004C64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16360" o:spid="_x0000_s6146" type="#_x0000_t136" style="position:absolute;left:0;text-align:left;margin-left:0;margin-top:0;width:549.9pt;height:109.95pt;rotation:315;z-index:-251655168;mso-position-horizontal:center;mso-position-horizontal-relative:margin;mso-position-vertical:center;mso-position-vertical-relative:margin" o:allowincell="f" fillcolor="silver" stroked="f">
          <v:textpath style="font-family:&quot;Arial&quot;;font-size:1pt" string="AS 4.13.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B4E" w:rsidRDefault="004C64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16361" o:spid="_x0000_s6147" type="#_x0000_t136" style="position:absolute;left:0;text-align:left;margin-left:0;margin-top:0;width:549.9pt;height:109.95pt;rotation:315;z-index:-251653120;mso-position-horizontal:center;mso-position-horizontal-relative:margin;mso-position-vertical:center;mso-position-vertical-relative:margin" o:allowincell="f" fillcolor="silver" stroked="f">
          <v:textpath style="font-family:&quot;Arial&quot;;font-size:1pt" string="AS 4.13.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0B4E" w:rsidRDefault="004C64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16359" o:spid="_x0000_s6145" type="#_x0000_t136" style="position:absolute;left:0;text-align:left;margin-left:0;margin-top:0;width:549.9pt;height:109.95pt;rotation:315;z-index:-251657216;mso-position-horizontal:center;mso-position-horizontal-relative:margin;mso-position-vertical:center;mso-position-vertical-relative:margin" o:allowincell="f" fillcolor="silver" stroked="f">
          <v:textpath style="font-family:&quot;Arial&quot;;font-size:1pt" string="AS 4.13.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95D"/>
    <w:multiLevelType w:val="hybridMultilevel"/>
    <w:tmpl w:val="6DC22D0C"/>
    <w:lvl w:ilvl="0" w:tplc="DBF4D29E">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34253D6B"/>
    <w:multiLevelType w:val="hybridMultilevel"/>
    <w:tmpl w:val="FD50A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757982"/>
    <w:multiLevelType w:val="hybridMultilevel"/>
    <w:tmpl w:val="6B38D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27BF5"/>
    <w:multiLevelType w:val="hybridMultilevel"/>
    <w:tmpl w:val="29C4C466"/>
    <w:lvl w:ilvl="0" w:tplc="97CCD774">
      <w:start w:val="1"/>
      <w:numFmt w:val="bullet"/>
      <w:lvlText w:val="-"/>
      <w:lvlJc w:val="left"/>
      <w:pPr>
        <w:ind w:left="555" w:hanging="360"/>
      </w:pPr>
      <w:rPr>
        <w:rFonts w:ascii="Times New Roman" w:eastAsia="Arial"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 w15:restartNumberingAfterBreak="0">
    <w:nsid w:val="698D1304"/>
    <w:multiLevelType w:val="hybridMultilevel"/>
    <w:tmpl w:val="58E26488"/>
    <w:lvl w:ilvl="0" w:tplc="352AFA30">
      <w:start w:val="1"/>
      <w:numFmt w:val="bullet"/>
      <w:lvlText w:val="■"/>
      <w:lvlJc w:val="left"/>
      <w:pPr>
        <w:tabs>
          <w:tab w:val="num" w:pos="720"/>
        </w:tabs>
        <w:ind w:left="720" w:hanging="360"/>
      </w:pPr>
      <w:rPr>
        <w:rFonts w:ascii="Franklin Gothic Book" w:hAnsi="Franklin Gothic Book" w:hint="default"/>
      </w:rPr>
    </w:lvl>
    <w:lvl w:ilvl="1" w:tplc="B9E2B3B0">
      <w:start w:val="110"/>
      <w:numFmt w:val="bullet"/>
      <w:lvlText w:val="–"/>
      <w:lvlJc w:val="left"/>
      <w:pPr>
        <w:tabs>
          <w:tab w:val="num" w:pos="1440"/>
        </w:tabs>
        <w:ind w:left="1440" w:hanging="360"/>
      </w:pPr>
      <w:rPr>
        <w:rFonts w:ascii="Franklin Gothic Book" w:hAnsi="Franklin Gothic Book" w:hint="default"/>
      </w:rPr>
    </w:lvl>
    <w:lvl w:ilvl="2" w:tplc="020CD182" w:tentative="1">
      <w:start w:val="1"/>
      <w:numFmt w:val="bullet"/>
      <w:lvlText w:val="■"/>
      <w:lvlJc w:val="left"/>
      <w:pPr>
        <w:tabs>
          <w:tab w:val="num" w:pos="2160"/>
        </w:tabs>
        <w:ind w:left="2160" w:hanging="360"/>
      </w:pPr>
      <w:rPr>
        <w:rFonts w:ascii="Franklin Gothic Book" w:hAnsi="Franklin Gothic Book" w:hint="default"/>
      </w:rPr>
    </w:lvl>
    <w:lvl w:ilvl="3" w:tplc="1AACBA16" w:tentative="1">
      <w:start w:val="1"/>
      <w:numFmt w:val="bullet"/>
      <w:lvlText w:val="■"/>
      <w:lvlJc w:val="left"/>
      <w:pPr>
        <w:tabs>
          <w:tab w:val="num" w:pos="2880"/>
        </w:tabs>
        <w:ind w:left="2880" w:hanging="360"/>
      </w:pPr>
      <w:rPr>
        <w:rFonts w:ascii="Franklin Gothic Book" w:hAnsi="Franklin Gothic Book" w:hint="default"/>
      </w:rPr>
    </w:lvl>
    <w:lvl w:ilvl="4" w:tplc="921CDC76" w:tentative="1">
      <w:start w:val="1"/>
      <w:numFmt w:val="bullet"/>
      <w:lvlText w:val="■"/>
      <w:lvlJc w:val="left"/>
      <w:pPr>
        <w:tabs>
          <w:tab w:val="num" w:pos="3600"/>
        </w:tabs>
        <w:ind w:left="3600" w:hanging="360"/>
      </w:pPr>
      <w:rPr>
        <w:rFonts w:ascii="Franklin Gothic Book" w:hAnsi="Franklin Gothic Book" w:hint="default"/>
      </w:rPr>
    </w:lvl>
    <w:lvl w:ilvl="5" w:tplc="510ED930" w:tentative="1">
      <w:start w:val="1"/>
      <w:numFmt w:val="bullet"/>
      <w:lvlText w:val="■"/>
      <w:lvlJc w:val="left"/>
      <w:pPr>
        <w:tabs>
          <w:tab w:val="num" w:pos="4320"/>
        </w:tabs>
        <w:ind w:left="4320" w:hanging="360"/>
      </w:pPr>
      <w:rPr>
        <w:rFonts w:ascii="Franklin Gothic Book" w:hAnsi="Franklin Gothic Book" w:hint="default"/>
      </w:rPr>
    </w:lvl>
    <w:lvl w:ilvl="6" w:tplc="C420B5B2" w:tentative="1">
      <w:start w:val="1"/>
      <w:numFmt w:val="bullet"/>
      <w:lvlText w:val="■"/>
      <w:lvlJc w:val="left"/>
      <w:pPr>
        <w:tabs>
          <w:tab w:val="num" w:pos="5040"/>
        </w:tabs>
        <w:ind w:left="5040" w:hanging="360"/>
      </w:pPr>
      <w:rPr>
        <w:rFonts w:ascii="Franklin Gothic Book" w:hAnsi="Franklin Gothic Book" w:hint="default"/>
      </w:rPr>
    </w:lvl>
    <w:lvl w:ilvl="7" w:tplc="DA4E6B7E" w:tentative="1">
      <w:start w:val="1"/>
      <w:numFmt w:val="bullet"/>
      <w:lvlText w:val="■"/>
      <w:lvlJc w:val="left"/>
      <w:pPr>
        <w:tabs>
          <w:tab w:val="num" w:pos="5760"/>
        </w:tabs>
        <w:ind w:left="5760" w:hanging="360"/>
      </w:pPr>
      <w:rPr>
        <w:rFonts w:ascii="Franklin Gothic Book" w:hAnsi="Franklin Gothic Book" w:hint="default"/>
      </w:rPr>
    </w:lvl>
    <w:lvl w:ilvl="8" w:tplc="2C482AB6" w:tentative="1">
      <w:start w:val="1"/>
      <w:numFmt w:val="bullet"/>
      <w:lvlText w:val="■"/>
      <w:lvlJc w:val="left"/>
      <w:pPr>
        <w:tabs>
          <w:tab w:val="num" w:pos="6480"/>
        </w:tabs>
        <w:ind w:left="6480" w:hanging="360"/>
      </w:pPr>
      <w:rPr>
        <w:rFonts w:ascii="Franklin Gothic Book" w:hAnsi="Franklin Gothic Book" w:hint="default"/>
      </w:rPr>
    </w:lvl>
  </w:abstractNum>
  <w:abstractNum w:abstractNumId="5" w15:restartNumberingAfterBreak="0">
    <w:nsid w:val="75D01068"/>
    <w:multiLevelType w:val="hybridMultilevel"/>
    <w:tmpl w:val="150E381A"/>
    <w:lvl w:ilvl="0" w:tplc="ADF053F4">
      <w:start w:val="1"/>
      <w:numFmt w:val="decimal"/>
      <w:lvlText w:val="%1)"/>
      <w:lvlJc w:val="left"/>
      <w:pPr>
        <w:ind w:left="547" w:hanging="360"/>
      </w:pPr>
      <w:rPr>
        <w:rFonts w:ascii="Times New Roman" w:eastAsia="Arial" w:hAnsi="Times New Roman" w:cs="Times New Roman"/>
      </w:rPr>
    </w:lvl>
    <w:lvl w:ilvl="1" w:tplc="04090003">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E8B"/>
    <w:rsid w:val="00034DAC"/>
    <w:rsid w:val="00057A03"/>
    <w:rsid w:val="000944A0"/>
    <w:rsid w:val="000950AC"/>
    <w:rsid w:val="000A11DE"/>
    <w:rsid w:val="000B0C6C"/>
    <w:rsid w:val="000E11C6"/>
    <w:rsid w:val="000F7CA6"/>
    <w:rsid w:val="00136952"/>
    <w:rsid w:val="00161CE6"/>
    <w:rsid w:val="001860C3"/>
    <w:rsid w:val="00193AA4"/>
    <w:rsid w:val="001C07E9"/>
    <w:rsid w:val="00226A88"/>
    <w:rsid w:val="002776AA"/>
    <w:rsid w:val="0029519B"/>
    <w:rsid w:val="0029693C"/>
    <w:rsid w:val="002D16E8"/>
    <w:rsid w:val="002F2BF4"/>
    <w:rsid w:val="00307371"/>
    <w:rsid w:val="00355ABF"/>
    <w:rsid w:val="003860B8"/>
    <w:rsid w:val="003F652C"/>
    <w:rsid w:val="0041168C"/>
    <w:rsid w:val="004545D9"/>
    <w:rsid w:val="00455A87"/>
    <w:rsid w:val="00475981"/>
    <w:rsid w:val="004A439F"/>
    <w:rsid w:val="004C27A7"/>
    <w:rsid w:val="004C64EA"/>
    <w:rsid w:val="00527754"/>
    <w:rsid w:val="00536B3F"/>
    <w:rsid w:val="00541805"/>
    <w:rsid w:val="005863B9"/>
    <w:rsid w:val="005A0595"/>
    <w:rsid w:val="005A4E8B"/>
    <w:rsid w:val="005A5AE2"/>
    <w:rsid w:val="005B5FFE"/>
    <w:rsid w:val="005D292D"/>
    <w:rsid w:val="00645745"/>
    <w:rsid w:val="00695E63"/>
    <w:rsid w:val="00697D78"/>
    <w:rsid w:val="006F42B9"/>
    <w:rsid w:val="0070091F"/>
    <w:rsid w:val="00734C60"/>
    <w:rsid w:val="00760EE6"/>
    <w:rsid w:val="007628FD"/>
    <w:rsid w:val="007A0B4E"/>
    <w:rsid w:val="007C4F03"/>
    <w:rsid w:val="007D4CE0"/>
    <w:rsid w:val="00834D7F"/>
    <w:rsid w:val="00866E91"/>
    <w:rsid w:val="00897BA8"/>
    <w:rsid w:val="008D3F78"/>
    <w:rsid w:val="00961704"/>
    <w:rsid w:val="00961F10"/>
    <w:rsid w:val="009F3FEF"/>
    <w:rsid w:val="00A726ED"/>
    <w:rsid w:val="00A83B9D"/>
    <w:rsid w:val="00AA3672"/>
    <w:rsid w:val="00AB0638"/>
    <w:rsid w:val="00AC4B8B"/>
    <w:rsid w:val="00AE3DD3"/>
    <w:rsid w:val="00AF4915"/>
    <w:rsid w:val="00B278C6"/>
    <w:rsid w:val="00B67FDC"/>
    <w:rsid w:val="00B92922"/>
    <w:rsid w:val="00BA1AE1"/>
    <w:rsid w:val="00C42BFA"/>
    <w:rsid w:val="00C44084"/>
    <w:rsid w:val="00C50AA1"/>
    <w:rsid w:val="00C942ED"/>
    <w:rsid w:val="00C96C75"/>
    <w:rsid w:val="00CB6356"/>
    <w:rsid w:val="00CE6146"/>
    <w:rsid w:val="00D12A27"/>
    <w:rsid w:val="00D20D19"/>
    <w:rsid w:val="00D33C37"/>
    <w:rsid w:val="00D459B8"/>
    <w:rsid w:val="00D64F79"/>
    <w:rsid w:val="00DC2F60"/>
    <w:rsid w:val="00DF372C"/>
    <w:rsid w:val="00E53CAD"/>
    <w:rsid w:val="00E7463C"/>
    <w:rsid w:val="00F01520"/>
    <w:rsid w:val="00F02668"/>
    <w:rsid w:val="00F214DE"/>
    <w:rsid w:val="00F42E94"/>
    <w:rsid w:val="00F531BA"/>
    <w:rsid w:val="00F55BF1"/>
    <w:rsid w:val="00F97CE1"/>
    <w:rsid w:val="00FB2504"/>
    <w:rsid w:val="00FD16AC"/>
    <w:rsid w:val="00FD39CA"/>
    <w:rsid w:val="052D2E80"/>
    <w:rsid w:val="0C093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5:chartTrackingRefBased/>
  <w15:docId w15:val="{7B8B4D9C-AAB5-4A8D-B560-D3BAEDFD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4E8B"/>
    <w:pPr>
      <w:spacing w:after="110" w:line="247" w:lineRule="auto"/>
      <w:ind w:left="196" w:hanging="9"/>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8C6"/>
    <w:pPr>
      <w:ind w:left="720"/>
      <w:contextualSpacing/>
    </w:pPr>
  </w:style>
  <w:style w:type="table" w:styleId="TableGrid">
    <w:name w:val="Table Grid"/>
    <w:basedOn w:val="TableNormal"/>
    <w:uiPriority w:val="39"/>
    <w:rsid w:val="00454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42ED"/>
    <w:pPr>
      <w:spacing w:after="0" w:line="240" w:lineRule="auto"/>
    </w:pPr>
    <w:rPr>
      <w:rFonts w:ascii="Arial" w:eastAsia="Arial" w:hAnsi="Arial" w:cs="Arial"/>
      <w:color w:val="000000"/>
      <w:sz w:val="22"/>
    </w:rPr>
  </w:style>
  <w:style w:type="character" w:styleId="CommentReference">
    <w:name w:val="annotation reference"/>
    <w:basedOn w:val="DefaultParagraphFont"/>
    <w:uiPriority w:val="99"/>
    <w:semiHidden/>
    <w:unhideWhenUsed/>
    <w:rsid w:val="00C942ED"/>
    <w:rPr>
      <w:sz w:val="16"/>
      <w:szCs w:val="16"/>
    </w:rPr>
  </w:style>
  <w:style w:type="paragraph" w:styleId="CommentText">
    <w:name w:val="annotation text"/>
    <w:basedOn w:val="Normal"/>
    <w:link w:val="CommentTextChar"/>
    <w:uiPriority w:val="99"/>
    <w:semiHidden/>
    <w:unhideWhenUsed/>
    <w:rsid w:val="00C942ED"/>
    <w:pPr>
      <w:spacing w:line="240" w:lineRule="auto"/>
    </w:pPr>
    <w:rPr>
      <w:sz w:val="20"/>
      <w:szCs w:val="20"/>
    </w:rPr>
  </w:style>
  <w:style w:type="character" w:customStyle="1" w:styleId="CommentTextChar">
    <w:name w:val="Comment Text Char"/>
    <w:basedOn w:val="DefaultParagraphFont"/>
    <w:link w:val="CommentText"/>
    <w:uiPriority w:val="99"/>
    <w:semiHidden/>
    <w:rsid w:val="00C942E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942ED"/>
    <w:rPr>
      <w:b/>
      <w:bCs/>
    </w:rPr>
  </w:style>
  <w:style w:type="character" w:customStyle="1" w:styleId="CommentSubjectChar">
    <w:name w:val="Comment Subject Char"/>
    <w:basedOn w:val="CommentTextChar"/>
    <w:link w:val="CommentSubject"/>
    <w:uiPriority w:val="99"/>
    <w:semiHidden/>
    <w:rsid w:val="00C942E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53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1BA"/>
    <w:rPr>
      <w:rFonts w:ascii="Segoe UI" w:eastAsia="Arial" w:hAnsi="Segoe UI" w:cs="Segoe UI"/>
      <w:color w:val="000000"/>
      <w:sz w:val="18"/>
      <w:szCs w:val="18"/>
    </w:rPr>
  </w:style>
  <w:style w:type="paragraph" w:styleId="Header">
    <w:name w:val="header"/>
    <w:basedOn w:val="Normal"/>
    <w:link w:val="HeaderChar"/>
    <w:uiPriority w:val="99"/>
    <w:unhideWhenUsed/>
    <w:rsid w:val="007A0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B4E"/>
    <w:rPr>
      <w:rFonts w:ascii="Arial" w:eastAsia="Arial" w:hAnsi="Arial" w:cs="Arial"/>
      <w:color w:val="000000"/>
      <w:sz w:val="22"/>
    </w:rPr>
  </w:style>
  <w:style w:type="paragraph" w:styleId="Footer">
    <w:name w:val="footer"/>
    <w:basedOn w:val="Normal"/>
    <w:link w:val="FooterChar"/>
    <w:uiPriority w:val="99"/>
    <w:unhideWhenUsed/>
    <w:rsid w:val="007A0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B4E"/>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456476">
      <w:bodyDiv w:val="1"/>
      <w:marLeft w:val="0"/>
      <w:marRight w:val="0"/>
      <w:marTop w:val="0"/>
      <w:marBottom w:val="0"/>
      <w:divBdr>
        <w:top w:val="none" w:sz="0" w:space="0" w:color="auto"/>
        <w:left w:val="none" w:sz="0" w:space="0" w:color="auto"/>
        <w:bottom w:val="none" w:sz="0" w:space="0" w:color="auto"/>
        <w:right w:val="none" w:sz="0" w:space="0" w:color="auto"/>
      </w:divBdr>
    </w:div>
    <w:div w:id="1052922150">
      <w:bodyDiv w:val="1"/>
      <w:marLeft w:val="0"/>
      <w:marRight w:val="0"/>
      <w:marTop w:val="0"/>
      <w:marBottom w:val="0"/>
      <w:divBdr>
        <w:top w:val="none" w:sz="0" w:space="0" w:color="auto"/>
        <w:left w:val="none" w:sz="0" w:space="0" w:color="auto"/>
        <w:bottom w:val="none" w:sz="0" w:space="0" w:color="auto"/>
        <w:right w:val="none" w:sz="0" w:space="0" w:color="auto"/>
      </w:divBdr>
    </w:div>
    <w:div w:id="1787115512">
      <w:bodyDiv w:val="1"/>
      <w:marLeft w:val="0"/>
      <w:marRight w:val="0"/>
      <w:marTop w:val="0"/>
      <w:marBottom w:val="0"/>
      <w:divBdr>
        <w:top w:val="none" w:sz="0" w:space="0" w:color="auto"/>
        <w:left w:val="none" w:sz="0" w:space="0" w:color="auto"/>
        <w:bottom w:val="none" w:sz="0" w:space="0" w:color="auto"/>
        <w:right w:val="none" w:sz="0" w:space="0" w:color="auto"/>
      </w:divBdr>
      <w:divsChild>
        <w:div w:id="804275587">
          <w:marLeft w:val="605"/>
          <w:marRight w:val="0"/>
          <w:marTop w:val="200"/>
          <w:marBottom w:val="40"/>
          <w:divBdr>
            <w:top w:val="none" w:sz="0" w:space="0" w:color="auto"/>
            <w:left w:val="none" w:sz="0" w:space="0" w:color="auto"/>
            <w:bottom w:val="none" w:sz="0" w:space="0" w:color="auto"/>
            <w:right w:val="none" w:sz="0" w:space="0" w:color="auto"/>
          </w:divBdr>
        </w:div>
        <w:div w:id="963191548">
          <w:marLeft w:val="605"/>
          <w:marRight w:val="0"/>
          <w:marTop w:val="200"/>
          <w:marBottom w:val="40"/>
          <w:divBdr>
            <w:top w:val="none" w:sz="0" w:space="0" w:color="auto"/>
            <w:left w:val="none" w:sz="0" w:space="0" w:color="auto"/>
            <w:bottom w:val="none" w:sz="0" w:space="0" w:color="auto"/>
            <w:right w:val="none" w:sz="0" w:space="0" w:color="auto"/>
          </w:divBdr>
        </w:div>
        <w:div w:id="1575386864">
          <w:marLeft w:val="1440"/>
          <w:marRight w:val="0"/>
          <w:marTop w:val="100"/>
          <w:marBottom w:val="40"/>
          <w:divBdr>
            <w:top w:val="none" w:sz="0" w:space="0" w:color="auto"/>
            <w:left w:val="none" w:sz="0" w:space="0" w:color="auto"/>
            <w:bottom w:val="none" w:sz="0" w:space="0" w:color="auto"/>
            <w:right w:val="none" w:sz="0" w:space="0" w:color="auto"/>
          </w:divBdr>
        </w:div>
        <w:div w:id="1804537231">
          <w:marLeft w:val="605"/>
          <w:marRight w:val="0"/>
          <w:marTop w:val="200"/>
          <w:marBottom w:val="40"/>
          <w:divBdr>
            <w:top w:val="none" w:sz="0" w:space="0" w:color="auto"/>
            <w:left w:val="none" w:sz="0" w:space="0" w:color="auto"/>
            <w:bottom w:val="none" w:sz="0" w:space="0" w:color="auto"/>
            <w:right w:val="none" w:sz="0" w:space="0" w:color="auto"/>
          </w:divBdr>
        </w:div>
        <w:div w:id="2042775499">
          <w:marLeft w:val="1440"/>
          <w:marRight w:val="0"/>
          <w:marTop w:val="10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HNYXMCCMVK3K-743504103-252</_dlc_DocId>
    <_dlc_DocIdUrl xmlns="431189f8-a51b-453f-9f0c-3a0b3b65b12f">
      <Url>https://www.sac.edu/President/AcademicSenate/_layouts/15/DocIdRedir.aspx?ID=HNYXMCCMVK3K-743504103-252</Url>
      <Description>HNYXMCCMVK3K-743504103-252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F679E6-3E42-4610-8900-0C1CABCB750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2714bb8-0a51-4561-8659-149a3f2b7248"/>
    <ds:schemaRef ds:uri="http://www.w3.org/XML/1998/namespace"/>
  </ds:schemaRefs>
</ds:datastoreItem>
</file>

<file path=customXml/itemProps2.xml><?xml version="1.0" encoding="utf-8"?>
<ds:datastoreItem xmlns:ds="http://schemas.openxmlformats.org/officeDocument/2006/customXml" ds:itemID="{7218AD7D-C7A2-4B96-93BC-8338BC926593}">
  <ds:schemaRefs>
    <ds:schemaRef ds:uri="http://schemas.microsoft.com/sharepoint/v3/contenttype/forms"/>
  </ds:schemaRefs>
</ds:datastoreItem>
</file>

<file path=customXml/itemProps3.xml><?xml version="1.0" encoding="utf-8"?>
<ds:datastoreItem xmlns:ds="http://schemas.openxmlformats.org/officeDocument/2006/customXml" ds:itemID="{51FD955B-6A7B-4F6F-9D31-2DEF09FAD6F1}"/>
</file>

<file path=customXml/itemProps4.xml><?xml version="1.0" encoding="utf-8"?>
<ds:datastoreItem xmlns:ds="http://schemas.openxmlformats.org/officeDocument/2006/customXml" ds:itemID="{AC4BB452-D998-443C-8B83-D520E60B5D66}">
  <ds:schemaRefs>
    <ds:schemaRef ds:uri="http://schemas.openxmlformats.org/officeDocument/2006/bibliography"/>
  </ds:schemaRefs>
</ds:datastoreItem>
</file>

<file path=customXml/itemProps5.xml><?xml version="1.0" encoding="utf-8"?>
<ds:datastoreItem xmlns:ds="http://schemas.openxmlformats.org/officeDocument/2006/customXml" ds:itemID="{D10835FE-1E95-4FCA-A550-D933FBE3405F}"/>
</file>

<file path=docProps/app.xml><?xml version="1.0" encoding="utf-8"?>
<Properties xmlns="http://schemas.openxmlformats.org/officeDocument/2006/extended-properties" xmlns:vt="http://schemas.openxmlformats.org/officeDocument/2006/docPropsVTypes">
  <Template>Normal.dotm</Template>
  <TotalTime>8</TotalTime>
  <Pages>7</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Fernando</dc:creator>
  <cp:keywords/>
  <dc:description/>
  <cp:lastModifiedBy>Miranda, Cristina</cp:lastModifiedBy>
  <cp:revision>6</cp:revision>
  <dcterms:created xsi:type="dcterms:W3CDTF">2021-03-09T23:11:00Z</dcterms:created>
  <dcterms:modified xsi:type="dcterms:W3CDTF">2021-03-22T20:51:00Z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bb272d07-a941-47f1-ba5c-e73d30acfc1f</vt:lpwstr>
  </property>
</Properties>
</file>