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B875" w14:textId="286184E9"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 xml:space="preserve">Updated </w:t>
      </w:r>
      <w:r>
        <w:rPr>
          <w:rStyle w:val="normaltextrun"/>
          <w:rFonts w:ascii="Calibri" w:hAnsi="Calibri" w:cs="Calibri"/>
          <w:sz w:val="22"/>
          <w:szCs w:val="22"/>
        </w:rPr>
        <w:t>Senate Resolution Regarding Dual Enrollment</w:t>
      </w:r>
      <w:r>
        <w:rPr>
          <w:rStyle w:val="eop"/>
          <w:rFonts w:ascii="Calibri" w:hAnsi="Calibri" w:cs="Calibri"/>
          <w:sz w:val="22"/>
          <w:szCs w:val="22"/>
        </w:rPr>
        <w:t> </w:t>
      </w:r>
    </w:p>
    <w:p w14:paraId="58EE4CB3"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490153F5" w14:textId="19DF6309" w:rsidR="0017661D" w:rsidRDefault="0017661D" w:rsidP="0017661D">
      <w:pPr>
        <w:pStyle w:val="paragraph"/>
        <w:spacing w:before="0" w:beforeAutospacing="0" w:after="0" w:afterAutospacing="0"/>
        <w:textAlignment w:val="baseline"/>
        <w:rPr>
          <w:rFonts w:ascii="Calibri" w:hAnsi="Calibri" w:cs="Calibri"/>
        </w:rPr>
      </w:pPr>
      <w:proofErr w:type="gramStart"/>
      <w:r>
        <w:rPr>
          <w:rStyle w:val="normaltextrun"/>
          <w:rFonts w:ascii="Calibri" w:hAnsi="Calibri" w:cs="Calibri"/>
          <w:sz w:val="22"/>
          <w:szCs w:val="22"/>
        </w:rPr>
        <w:t>Whereas,</w:t>
      </w:r>
      <w:proofErr w:type="gramEnd"/>
      <w:r>
        <w:rPr>
          <w:rStyle w:val="normaltextrun"/>
          <w:rFonts w:ascii="Calibri" w:hAnsi="Calibri" w:cs="Calibri"/>
          <w:sz w:val="22"/>
          <w:szCs w:val="22"/>
        </w:rPr>
        <w:t xml:space="preserve"> the Academic Senate is the organization whose primary function is to make recommendations with respect to academic and professional matters (Title 5, § 53200), and per RSCCD BP2410, is primarily relied upon for *10+1 items: #1, 2, 3, 5, 8, and will reach mutual agreement on items #4, 6, 7, 9, 10; and,  </w:t>
      </w:r>
      <w:r>
        <w:rPr>
          <w:rStyle w:val="eop"/>
          <w:rFonts w:ascii="Calibri" w:hAnsi="Calibri" w:cs="Calibri"/>
          <w:sz w:val="22"/>
          <w:szCs w:val="22"/>
        </w:rPr>
        <w:t> </w:t>
      </w:r>
    </w:p>
    <w:p w14:paraId="52FEAB2E" w14:textId="68FE1EFC"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br/>
      </w:r>
      <w:r>
        <w:rPr>
          <w:rStyle w:val="normaltextrun"/>
          <w:rFonts w:ascii="Calibri" w:hAnsi="Calibri" w:cs="Calibri"/>
          <w:sz w:val="22"/>
          <w:szCs w:val="22"/>
        </w:rPr>
        <w:t>Whereas, the Academic Senate for California Community Colleges in Resolution 09.02 “Faculty Involvement in the Creation of Dual Enrollment Programs,” adopted at the Fall 2016 plenary session, stated “Dual enrollment programs must be developed with significant involvement of community college faculty who meet minimum qualifications in the disciplines involved in order to ensure appropriate consideration of academic and professional matters, such as curriculum development, assessment of student learning outcomes, and grading standards, that are critical to student success in the program” and urged local senates “to engage in discussions with their administrations to ensure that the development and implementation of dual enrollment programs occur with endorsement through collegial consultation with the academic senate” and “to consult with their administrations to assure dual enrollment course offerings are within the capacity of the college to maintain without adversely affecting local programs;” and,</w:t>
      </w:r>
      <w:r>
        <w:rPr>
          <w:rStyle w:val="eop"/>
          <w:rFonts w:ascii="Calibri" w:hAnsi="Calibri" w:cs="Calibri"/>
          <w:sz w:val="22"/>
          <w:szCs w:val="22"/>
        </w:rPr>
        <w:t> </w:t>
      </w:r>
    </w:p>
    <w:p w14:paraId="0EF9E100"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233975F3" w14:textId="77777777" w:rsidR="0017661D" w:rsidRDefault="0017661D" w:rsidP="0017661D">
      <w:pPr>
        <w:pStyle w:val="paragraph"/>
        <w:spacing w:before="0" w:beforeAutospacing="0" w:after="0" w:afterAutospacing="0"/>
        <w:textAlignment w:val="baseline"/>
        <w:rPr>
          <w:rFonts w:ascii="Calibri" w:hAnsi="Calibri" w:cs="Calibri"/>
        </w:rPr>
      </w:pPr>
      <w:proofErr w:type="gramStart"/>
      <w:r>
        <w:rPr>
          <w:rStyle w:val="normaltextrun"/>
          <w:rFonts w:ascii="Calibri" w:hAnsi="Calibri" w:cs="Calibri"/>
          <w:sz w:val="22"/>
          <w:szCs w:val="22"/>
        </w:rPr>
        <w:t>Whereas,</w:t>
      </w:r>
      <w:proofErr w:type="gramEnd"/>
      <w:r>
        <w:rPr>
          <w:rStyle w:val="normaltextrun"/>
          <w:rFonts w:ascii="Calibri" w:hAnsi="Calibri" w:cs="Calibri"/>
          <w:sz w:val="22"/>
          <w:szCs w:val="22"/>
        </w:rPr>
        <w:t xml:space="preserve"> quality of curriculum and instruction are essential to equity and student success and meeting minimum qualifications for a discipline is only one component of the hiring and evaluation processes;</w:t>
      </w:r>
      <w:r>
        <w:rPr>
          <w:rStyle w:val="eop"/>
          <w:rFonts w:ascii="Calibri" w:hAnsi="Calibri" w:cs="Calibri"/>
          <w:sz w:val="22"/>
          <w:szCs w:val="22"/>
        </w:rPr>
        <w:t> </w:t>
      </w:r>
    </w:p>
    <w:p w14:paraId="6E6EA08D"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251220AF" w14:textId="77777777" w:rsidR="0017661D" w:rsidRDefault="0017661D" w:rsidP="0017661D">
      <w:pPr>
        <w:pStyle w:val="paragraph"/>
        <w:spacing w:before="0" w:beforeAutospacing="0" w:after="0" w:afterAutospacing="0"/>
        <w:textAlignment w:val="baseline"/>
        <w:rPr>
          <w:rFonts w:ascii="Calibri" w:hAnsi="Calibri" w:cs="Calibri"/>
        </w:rPr>
      </w:pPr>
      <w:proofErr w:type="gramStart"/>
      <w:r>
        <w:rPr>
          <w:rStyle w:val="normaltextrun"/>
          <w:rFonts w:ascii="Calibri" w:hAnsi="Calibri" w:cs="Calibri"/>
          <w:sz w:val="22"/>
          <w:szCs w:val="22"/>
        </w:rPr>
        <w:t>Whereas,</w:t>
      </w:r>
      <w:proofErr w:type="gramEnd"/>
      <w:r>
        <w:rPr>
          <w:rStyle w:val="normaltextrun"/>
          <w:rFonts w:ascii="Calibri" w:hAnsi="Calibri" w:cs="Calibri"/>
          <w:sz w:val="22"/>
          <w:szCs w:val="22"/>
        </w:rPr>
        <w:t xml:space="preserve"> Santa Ana College has entered into CCAP and other dual enrollment agreements without faculty or Academic Senate involvement; </w:t>
      </w:r>
      <w:r>
        <w:rPr>
          <w:rStyle w:val="eop"/>
          <w:rFonts w:ascii="Calibri" w:hAnsi="Calibri" w:cs="Calibri"/>
          <w:sz w:val="22"/>
          <w:szCs w:val="22"/>
        </w:rPr>
        <w:t> </w:t>
      </w:r>
    </w:p>
    <w:p w14:paraId="437C9CEF"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16C495E7" w14:textId="076A65A9"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Be it resolved, the Santa Ana College Academic Senate supports the development of Dual Enrollment Partnerships among high schools in our district and</w:t>
      </w:r>
      <w:r>
        <w:rPr>
          <w:rStyle w:val="eop"/>
          <w:rFonts w:ascii="Calibri" w:hAnsi="Calibri" w:cs="Calibri"/>
          <w:sz w:val="22"/>
          <w:szCs w:val="22"/>
        </w:rPr>
        <w:t> </w:t>
      </w:r>
      <w:r>
        <w:rPr>
          <w:rStyle w:val="normaltextrun"/>
          <w:rFonts w:ascii="Calibri" w:hAnsi="Calibri" w:cs="Calibri"/>
          <w:sz w:val="22"/>
          <w:szCs w:val="22"/>
        </w:rPr>
        <w:t xml:space="preserve"> finds that dual enrollment is an academic and professional matter as defined by California law, Title 5, Article 2, Sect. 53200, which explicitly assigns to faculty primary responsibility for recommendations associated with curriculum (#1), education program development (#4), and standards or policies regarding student preparation and success(#5); and,</w:t>
      </w:r>
      <w:r>
        <w:rPr>
          <w:rStyle w:val="eop"/>
          <w:rFonts w:ascii="Calibri" w:hAnsi="Calibri" w:cs="Calibri"/>
          <w:sz w:val="22"/>
          <w:szCs w:val="22"/>
        </w:rPr>
        <w:t> </w:t>
      </w:r>
    </w:p>
    <w:p w14:paraId="0EB78FD8"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33160B8A" w14:textId="24261998"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 xml:space="preserve">Be it </w:t>
      </w:r>
      <w:proofErr w:type="gramStart"/>
      <w:r>
        <w:rPr>
          <w:rStyle w:val="normaltextrun"/>
          <w:rFonts w:ascii="Calibri" w:hAnsi="Calibri" w:cs="Calibri"/>
          <w:sz w:val="22"/>
          <w:szCs w:val="22"/>
        </w:rPr>
        <w:t>resolved,</w:t>
      </w:r>
      <w:proofErr w:type="gramEnd"/>
      <w:r>
        <w:rPr>
          <w:rStyle w:val="normaltextrun"/>
          <w:rFonts w:ascii="Calibri" w:hAnsi="Calibri" w:cs="Calibri"/>
          <w:sz w:val="22"/>
          <w:szCs w:val="22"/>
        </w:rPr>
        <w:t xml:space="preserve"> that </w:t>
      </w:r>
      <w:r>
        <w:rPr>
          <w:rStyle w:val="normaltextrun"/>
          <w:rFonts w:ascii="Calibri" w:hAnsi="Calibri" w:cs="Calibri"/>
          <w:sz w:val="22"/>
          <w:szCs w:val="22"/>
        </w:rPr>
        <w:t xml:space="preserve">the </w:t>
      </w:r>
      <w:r>
        <w:rPr>
          <w:rStyle w:val="normaltextrun"/>
          <w:rFonts w:ascii="Calibri" w:hAnsi="Calibri" w:cs="Calibri"/>
          <w:sz w:val="22"/>
          <w:szCs w:val="22"/>
        </w:rPr>
        <w:t>Santa Ana College Academic Senate urges its administrative colleagues</w:t>
      </w:r>
      <w:r>
        <w:rPr>
          <w:rStyle w:val="eop"/>
          <w:rFonts w:ascii="Calibri" w:hAnsi="Calibri" w:cs="Calibri"/>
          <w:sz w:val="22"/>
          <w:szCs w:val="22"/>
        </w:rPr>
        <w:t> </w:t>
      </w:r>
    </w:p>
    <w:p w14:paraId="6FC57E34" w14:textId="40AA052C"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to collaborate with the Academic Senate and the Faculty Association of the Rancho Santiago Community College District (FARSCCD) to jointly develop a selection and evaluation process for faculty assignments at the partnering dual enrollment high schools; and</w:t>
      </w:r>
      <w:r>
        <w:rPr>
          <w:rStyle w:val="eop"/>
          <w:rFonts w:ascii="Calibri" w:hAnsi="Calibri" w:cs="Calibri"/>
          <w:sz w:val="22"/>
          <w:szCs w:val="22"/>
        </w:rPr>
        <w:t> </w:t>
      </w:r>
    </w:p>
    <w:p w14:paraId="06877F44"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1729F63F" w14:textId="0A1410CB"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 xml:space="preserve">Be it </w:t>
      </w:r>
      <w:proofErr w:type="gramStart"/>
      <w:r>
        <w:rPr>
          <w:rStyle w:val="normaltextrun"/>
          <w:rFonts w:ascii="Calibri" w:hAnsi="Calibri" w:cs="Calibri"/>
          <w:sz w:val="22"/>
          <w:szCs w:val="22"/>
        </w:rPr>
        <w:t>resolved,</w:t>
      </w:r>
      <w:proofErr w:type="gramEnd"/>
      <w:r>
        <w:rPr>
          <w:rStyle w:val="normaltextrun"/>
          <w:rFonts w:ascii="Calibri" w:hAnsi="Calibri" w:cs="Calibri"/>
          <w:sz w:val="22"/>
          <w:szCs w:val="22"/>
        </w:rPr>
        <w:t xml:space="preserve"> that </w:t>
      </w:r>
      <w:r>
        <w:rPr>
          <w:rStyle w:val="normaltextrun"/>
          <w:rFonts w:ascii="Calibri" w:hAnsi="Calibri" w:cs="Calibri"/>
          <w:sz w:val="22"/>
          <w:szCs w:val="22"/>
        </w:rPr>
        <w:t xml:space="preserve">the </w:t>
      </w:r>
      <w:r>
        <w:rPr>
          <w:rStyle w:val="normaltextrun"/>
          <w:rFonts w:ascii="Calibri" w:hAnsi="Calibri" w:cs="Calibri"/>
          <w:sz w:val="22"/>
          <w:szCs w:val="22"/>
        </w:rPr>
        <w:t>Santa Ana College Academic Senate urges its administrative colleagues</w:t>
      </w:r>
      <w:r>
        <w:rPr>
          <w:rStyle w:val="eop"/>
          <w:rFonts w:ascii="Calibri" w:hAnsi="Calibri" w:cs="Calibri"/>
          <w:sz w:val="22"/>
          <w:szCs w:val="22"/>
        </w:rPr>
        <w:t> </w:t>
      </w:r>
    </w:p>
    <w:p w14:paraId="3FD89E9C" w14:textId="5F0399D0"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to collaborate with the Academic Senate in developing policies and processes for the approval of dual enrollment agreements, the selection of courses to be offered as part of dual enrollment agreements as well as the on-boarding and training of faculty whose instructional assignments include courses offered within a dual enrollment program; and </w:t>
      </w:r>
    </w:p>
    <w:p w14:paraId="7449AAB3"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14:paraId="492681AC" w14:textId="77777777"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 xml:space="preserve">Be it </w:t>
      </w:r>
      <w:proofErr w:type="gramStart"/>
      <w:r>
        <w:rPr>
          <w:rStyle w:val="normaltextrun"/>
          <w:rFonts w:ascii="Calibri" w:hAnsi="Calibri" w:cs="Calibri"/>
          <w:sz w:val="22"/>
          <w:szCs w:val="22"/>
        </w:rPr>
        <w:t>resolved,</w:t>
      </w:r>
      <w:proofErr w:type="gramEnd"/>
      <w:r>
        <w:rPr>
          <w:rStyle w:val="normaltextrun"/>
          <w:rFonts w:ascii="Calibri" w:hAnsi="Calibri" w:cs="Calibri"/>
          <w:sz w:val="22"/>
          <w:szCs w:val="22"/>
        </w:rPr>
        <w:t xml:space="preserve"> that Santa Ana College discipline faculty retain the right to withdraw a</w:t>
      </w:r>
      <w:r>
        <w:rPr>
          <w:rStyle w:val="eop"/>
          <w:rFonts w:ascii="Calibri" w:hAnsi="Calibri" w:cs="Calibri"/>
          <w:sz w:val="22"/>
          <w:szCs w:val="22"/>
        </w:rPr>
        <w:t> </w:t>
      </w:r>
    </w:p>
    <w:p w14:paraId="518D117A" w14:textId="7853FC6A" w:rsidR="0017661D" w:rsidRDefault="0017661D" w:rsidP="0017661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 xml:space="preserve">course from the dual enrollment program if </w:t>
      </w:r>
      <w:r>
        <w:rPr>
          <w:rStyle w:val="normaltextrun"/>
          <w:rFonts w:ascii="Calibri" w:hAnsi="Calibri" w:cs="Calibri"/>
          <w:sz w:val="22"/>
          <w:szCs w:val="22"/>
        </w:rPr>
        <w:t xml:space="preserve">mutually agreed upon policies and processes have not been established or if deemed necessary for </w:t>
      </w:r>
      <w:r>
        <w:rPr>
          <w:rStyle w:val="normaltextrun"/>
          <w:rFonts w:ascii="Calibri" w:hAnsi="Calibri" w:cs="Calibri"/>
          <w:sz w:val="22"/>
          <w:szCs w:val="22"/>
        </w:rPr>
        <w:t>pedagogical reasons.</w:t>
      </w:r>
      <w:r>
        <w:rPr>
          <w:rStyle w:val="eop"/>
          <w:rFonts w:ascii="Calibri" w:hAnsi="Calibri" w:cs="Calibri"/>
          <w:sz w:val="22"/>
          <w:szCs w:val="22"/>
        </w:rPr>
        <w:t> </w:t>
      </w:r>
    </w:p>
    <w:p w14:paraId="2BE44C9D" w14:textId="77777777" w:rsidR="0017661D" w:rsidRDefault="0017661D" w:rsidP="0017661D">
      <w:pPr>
        <w:pStyle w:val="paragraph"/>
        <w:spacing w:before="0" w:beforeAutospacing="0" w:after="0" w:afterAutospacing="0"/>
        <w:textAlignment w:val="baseline"/>
        <w:rPr>
          <w:rFonts w:ascii="Calibri" w:hAnsi="Calibri" w:cs="Calibri"/>
        </w:rPr>
      </w:pPr>
      <w:r>
        <w:rPr>
          <w:rStyle w:val="eop"/>
          <w:rFonts w:ascii="Lato" w:hAnsi="Lato" w:cs="Calibri"/>
          <w:color w:val="0A0A0A"/>
        </w:rPr>
        <w:t> </w:t>
      </w:r>
    </w:p>
    <w:p w14:paraId="08EB2411" w14:textId="77777777" w:rsidR="0017661D" w:rsidRDefault="0017661D" w:rsidP="0017661D">
      <w:pPr>
        <w:pStyle w:val="paragraph"/>
        <w:spacing w:before="0" w:beforeAutospacing="0" w:after="0" w:afterAutospacing="0"/>
        <w:ind w:left="720"/>
        <w:textAlignment w:val="baseline"/>
        <w:rPr>
          <w:rStyle w:val="normaltextrun"/>
          <w:rFonts w:asciiTheme="minorHAnsi" w:hAnsiTheme="minorHAnsi" w:cstheme="minorHAnsi"/>
          <w:color w:val="0A0A0A"/>
        </w:rPr>
      </w:pPr>
    </w:p>
    <w:p w14:paraId="705BEDF6" w14:textId="71028667" w:rsidR="0017661D" w:rsidRPr="0017661D" w:rsidRDefault="0017661D" w:rsidP="0017661D">
      <w:pPr>
        <w:pStyle w:val="paragraph"/>
        <w:spacing w:before="0" w:beforeAutospacing="0" w:after="0" w:afterAutospacing="0"/>
        <w:ind w:left="360"/>
        <w:textAlignment w:val="baseline"/>
        <w:rPr>
          <w:rFonts w:asciiTheme="minorHAnsi" w:hAnsiTheme="minorHAnsi" w:cstheme="minorHAnsi"/>
        </w:rPr>
      </w:pPr>
      <w:r w:rsidRPr="0017661D">
        <w:rPr>
          <w:rStyle w:val="normaltextrun"/>
          <w:rFonts w:asciiTheme="minorHAnsi" w:hAnsiTheme="minorHAnsi" w:cstheme="minorHAnsi"/>
          <w:color w:val="0A0A0A"/>
        </w:rPr>
        <w:lastRenderedPageBreak/>
        <w:t>*Title 5 § 53200 (b): Academic Senate means an organization whose primary function is to make recommendations with respect to academic and professional matters. In Sections 53200 (c), "Academic and professional matters" mean the following policy development and implementation matters</w:t>
      </w:r>
      <w:r w:rsidRPr="0017661D">
        <w:rPr>
          <w:rStyle w:val="eop"/>
          <w:rFonts w:asciiTheme="minorHAnsi" w:hAnsiTheme="minorHAnsi" w:cstheme="minorHAnsi"/>
          <w:color w:val="0A0A0A"/>
        </w:rPr>
        <w:t> </w:t>
      </w:r>
    </w:p>
    <w:p w14:paraId="11C4E8C9"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Curriculum including establishing prerequisites and placing courses within disciplines</w:t>
      </w:r>
      <w:r w:rsidRPr="0017661D">
        <w:rPr>
          <w:rStyle w:val="eop"/>
          <w:rFonts w:asciiTheme="minorHAnsi" w:hAnsiTheme="minorHAnsi" w:cstheme="minorHAnsi"/>
          <w:color w:val="0A0A0A"/>
        </w:rPr>
        <w:t> </w:t>
      </w:r>
    </w:p>
    <w:p w14:paraId="4A232895"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Degree and certificate requirements</w:t>
      </w:r>
      <w:r w:rsidRPr="0017661D">
        <w:rPr>
          <w:rStyle w:val="eop"/>
          <w:rFonts w:asciiTheme="minorHAnsi" w:hAnsiTheme="minorHAnsi" w:cstheme="minorHAnsi"/>
          <w:color w:val="0A0A0A"/>
        </w:rPr>
        <w:t> </w:t>
      </w:r>
    </w:p>
    <w:p w14:paraId="41D8B37F"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Grading policies</w:t>
      </w:r>
      <w:r w:rsidRPr="0017661D">
        <w:rPr>
          <w:rStyle w:val="eop"/>
          <w:rFonts w:asciiTheme="minorHAnsi" w:hAnsiTheme="minorHAnsi" w:cstheme="minorHAnsi"/>
          <w:color w:val="0A0A0A"/>
        </w:rPr>
        <w:t> </w:t>
      </w:r>
    </w:p>
    <w:p w14:paraId="316AE109"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Educational program development</w:t>
      </w:r>
      <w:r w:rsidRPr="0017661D">
        <w:rPr>
          <w:rStyle w:val="eop"/>
          <w:rFonts w:asciiTheme="minorHAnsi" w:hAnsiTheme="minorHAnsi" w:cstheme="minorHAnsi"/>
          <w:color w:val="0A0A0A"/>
        </w:rPr>
        <w:t> </w:t>
      </w:r>
    </w:p>
    <w:p w14:paraId="6C47DE33"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Standards or policies regarding student preparation and success</w:t>
      </w:r>
      <w:r w:rsidRPr="0017661D">
        <w:rPr>
          <w:rStyle w:val="eop"/>
          <w:rFonts w:asciiTheme="minorHAnsi" w:hAnsiTheme="minorHAnsi" w:cstheme="minorHAnsi"/>
          <w:color w:val="0A0A0A"/>
        </w:rPr>
        <w:t> </w:t>
      </w:r>
    </w:p>
    <w:p w14:paraId="1C2432C1"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District and college governance structures, as related to faculty roles</w:t>
      </w:r>
      <w:r w:rsidRPr="0017661D">
        <w:rPr>
          <w:rStyle w:val="eop"/>
          <w:rFonts w:asciiTheme="minorHAnsi" w:hAnsiTheme="minorHAnsi" w:cstheme="minorHAnsi"/>
          <w:color w:val="0A0A0A"/>
        </w:rPr>
        <w:t> </w:t>
      </w:r>
    </w:p>
    <w:p w14:paraId="33BBE311"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Faculty roles and involvement in accreditation processes, including self-study and annual reports</w:t>
      </w:r>
      <w:r w:rsidRPr="0017661D">
        <w:rPr>
          <w:rStyle w:val="eop"/>
          <w:rFonts w:asciiTheme="minorHAnsi" w:hAnsiTheme="minorHAnsi" w:cstheme="minorHAnsi"/>
          <w:color w:val="0A0A0A"/>
        </w:rPr>
        <w:t> </w:t>
      </w:r>
    </w:p>
    <w:p w14:paraId="4A02CB8E"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Policies for faculty professional development activities</w:t>
      </w:r>
      <w:r w:rsidRPr="0017661D">
        <w:rPr>
          <w:rStyle w:val="eop"/>
          <w:rFonts w:asciiTheme="minorHAnsi" w:hAnsiTheme="minorHAnsi" w:cstheme="minorHAnsi"/>
          <w:color w:val="0A0A0A"/>
        </w:rPr>
        <w:t> </w:t>
      </w:r>
    </w:p>
    <w:p w14:paraId="6847F241"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Processes for program review</w:t>
      </w:r>
      <w:r w:rsidRPr="0017661D">
        <w:rPr>
          <w:rStyle w:val="eop"/>
          <w:rFonts w:asciiTheme="minorHAnsi" w:hAnsiTheme="minorHAnsi" w:cstheme="minorHAnsi"/>
          <w:color w:val="0A0A0A"/>
        </w:rPr>
        <w:t> </w:t>
      </w:r>
    </w:p>
    <w:p w14:paraId="2B25A87E"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Processes for institutional planning and budget development </w:t>
      </w:r>
      <w:r w:rsidRPr="0017661D">
        <w:rPr>
          <w:rStyle w:val="eop"/>
          <w:rFonts w:asciiTheme="minorHAnsi" w:hAnsiTheme="minorHAnsi" w:cstheme="minorHAnsi"/>
          <w:color w:val="0A0A0A"/>
        </w:rPr>
        <w:t> </w:t>
      </w:r>
    </w:p>
    <w:p w14:paraId="5EBDAD6F" w14:textId="77777777" w:rsidR="0017661D" w:rsidRPr="0017661D" w:rsidRDefault="0017661D" w:rsidP="0017661D">
      <w:pPr>
        <w:pStyle w:val="paragraph"/>
        <w:numPr>
          <w:ilvl w:val="0"/>
          <w:numId w:val="12"/>
        </w:numPr>
        <w:spacing w:before="0" w:beforeAutospacing="0" w:after="0" w:afterAutospacing="0"/>
        <w:textAlignment w:val="baseline"/>
        <w:rPr>
          <w:rFonts w:asciiTheme="minorHAnsi" w:hAnsiTheme="minorHAnsi" w:cstheme="minorHAnsi"/>
        </w:rPr>
      </w:pPr>
      <w:r w:rsidRPr="0017661D">
        <w:rPr>
          <w:rStyle w:val="normaltextrun"/>
          <w:rFonts w:asciiTheme="minorHAnsi" w:hAnsiTheme="minorHAnsi" w:cstheme="minorHAnsi"/>
          <w:color w:val="0A0A0A"/>
        </w:rPr>
        <w:t>Other academic and professional matters as are mutually agreed upon between the governing board and the academic senate.</w:t>
      </w:r>
      <w:r w:rsidRPr="0017661D">
        <w:rPr>
          <w:rStyle w:val="eop"/>
          <w:rFonts w:asciiTheme="minorHAnsi" w:hAnsiTheme="minorHAnsi" w:cstheme="minorHAnsi"/>
          <w:color w:val="0A0A0A"/>
        </w:rPr>
        <w:t> </w:t>
      </w:r>
    </w:p>
    <w:p w14:paraId="359AE327" w14:textId="77777777" w:rsidR="000B72A7" w:rsidRPr="0017661D" w:rsidRDefault="00E66E29">
      <w:pPr>
        <w:rPr>
          <w:rFonts w:cstheme="minorHAnsi"/>
        </w:rPr>
      </w:pPr>
    </w:p>
    <w:sectPr w:rsidR="000B72A7" w:rsidRPr="00176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B8D"/>
    <w:multiLevelType w:val="multilevel"/>
    <w:tmpl w:val="ED4AB3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05A5563"/>
    <w:multiLevelType w:val="multilevel"/>
    <w:tmpl w:val="D7FEBE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DE03649"/>
    <w:multiLevelType w:val="multilevel"/>
    <w:tmpl w:val="818440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168131A"/>
    <w:multiLevelType w:val="multilevel"/>
    <w:tmpl w:val="197894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2C6095E"/>
    <w:multiLevelType w:val="multilevel"/>
    <w:tmpl w:val="1DEE7B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72A177C"/>
    <w:multiLevelType w:val="multilevel"/>
    <w:tmpl w:val="4880E4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9A35981"/>
    <w:multiLevelType w:val="multilevel"/>
    <w:tmpl w:val="0A84EC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9D955C0"/>
    <w:multiLevelType w:val="multilevel"/>
    <w:tmpl w:val="BDEC87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CD122C9"/>
    <w:multiLevelType w:val="multilevel"/>
    <w:tmpl w:val="689CB5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E912A5C"/>
    <w:multiLevelType w:val="multilevel"/>
    <w:tmpl w:val="A8728C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33542B6"/>
    <w:multiLevelType w:val="multilevel"/>
    <w:tmpl w:val="F7C869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EDD2C95"/>
    <w:multiLevelType w:val="hybridMultilevel"/>
    <w:tmpl w:val="0408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661621">
    <w:abstractNumId w:val="5"/>
  </w:num>
  <w:num w:numId="2" w16cid:durableId="920527643">
    <w:abstractNumId w:val="2"/>
  </w:num>
  <w:num w:numId="3" w16cid:durableId="170461149">
    <w:abstractNumId w:val="6"/>
  </w:num>
  <w:num w:numId="4" w16cid:durableId="1480489369">
    <w:abstractNumId w:val="0"/>
  </w:num>
  <w:num w:numId="5" w16cid:durableId="960914942">
    <w:abstractNumId w:val="1"/>
  </w:num>
  <w:num w:numId="6" w16cid:durableId="456262059">
    <w:abstractNumId w:val="8"/>
  </w:num>
  <w:num w:numId="7" w16cid:durableId="854733341">
    <w:abstractNumId w:val="4"/>
  </w:num>
  <w:num w:numId="8" w16cid:durableId="924072101">
    <w:abstractNumId w:val="3"/>
  </w:num>
  <w:num w:numId="9" w16cid:durableId="1673754093">
    <w:abstractNumId w:val="9"/>
  </w:num>
  <w:num w:numId="10" w16cid:durableId="1502237326">
    <w:abstractNumId w:val="7"/>
  </w:num>
  <w:num w:numId="11" w16cid:durableId="1188835699">
    <w:abstractNumId w:val="10"/>
  </w:num>
  <w:num w:numId="12" w16cid:durableId="717164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1D"/>
    <w:rsid w:val="0017661D"/>
    <w:rsid w:val="00451CE0"/>
    <w:rsid w:val="006F5AAC"/>
    <w:rsid w:val="00E6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5F98"/>
  <w15:chartTrackingRefBased/>
  <w15:docId w15:val="{FD955C07-2E66-4F68-BA6B-0E7F526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6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661D"/>
  </w:style>
  <w:style w:type="character" w:customStyle="1" w:styleId="eop">
    <w:name w:val="eop"/>
    <w:basedOn w:val="DefaultParagraphFont"/>
    <w:rsid w:val="0017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98740">
      <w:bodyDiv w:val="1"/>
      <w:marLeft w:val="0"/>
      <w:marRight w:val="0"/>
      <w:marTop w:val="0"/>
      <w:marBottom w:val="0"/>
      <w:divBdr>
        <w:top w:val="none" w:sz="0" w:space="0" w:color="auto"/>
        <w:left w:val="none" w:sz="0" w:space="0" w:color="auto"/>
        <w:bottom w:val="none" w:sz="0" w:space="0" w:color="auto"/>
        <w:right w:val="none" w:sz="0" w:space="0" w:color="auto"/>
      </w:divBdr>
      <w:divsChild>
        <w:div w:id="899024817">
          <w:marLeft w:val="0"/>
          <w:marRight w:val="0"/>
          <w:marTop w:val="0"/>
          <w:marBottom w:val="0"/>
          <w:divBdr>
            <w:top w:val="none" w:sz="0" w:space="0" w:color="auto"/>
            <w:left w:val="none" w:sz="0" w:space="0" w:color="auto"/>
            <w:bottom w:val="none" w:sz="0" w:space="0" w:color="auto"/>
            <w:right w:val="none" w:sz="0" w:space="0" w:color="auto"/>
          </w:divBdr>
        </w:div>
        <w:div w:id="589461013">
          <w:marLeft w:val="0"/>
          <w:marRight w:val="0"/>
          <w:marTop w:val="0"/>
          <w:marBottom w:val="0"/>
          <w:divBdr>
            <w:top w:val="none" w:sz="0" w:space="0" w:color="auto"/>
            <w:left w:val="none" w:sz="0" w:space="0" w:color="auto"/>
            <w:bottom w:val="none" w:sz="0" w:space="0" w:color="auto"/>
            <w:right w:val="none" w:sz="0" w:space="0" w:color="auto"/>
          </w:divBdr>
        </w:div>
        <w:div w:id="1036811267">
          <w:marLeft w:val="0"/>
          <w:marRight w:val="0"/>
          <w:marTop w:val="0"/>
          <w:marBottom w:val="0"/>
          <w:divBdr>
            <w:top w:val="none" w:sz="0" w:space="0" w:color="auto"/>
            <w:left w:val="none" w:sz="0" w:space="0" w:color="auto"/>
            <w:bottom w:val="none" w:sz="0" w:space="0" w:color="auto"/>
            <w:right w:val="none" w:sz="0" w:space="0" w:color="auto"/>
          </w:divBdr>
        </w:div>
        <w:div w:id="971135844">
          <w:marLeft w:val="0"/>
          <w:marRight w:val="0"/>
          <w:marTop w:val="0"/>
          <w:marBottom w:val="0"/>
          <w:divBdr>
            <w:top w:val="none" w:sz="0" w:space="0" w:color="auto"/>
            <w:left w:val="none" w:sz="0" w:space="0" w:color="auto"/>
            <w:bottom w:val="none" w:sz="0" w:space="0" w:color="auto"/>
            <w:right w:val="none" w:sz="0" w:space="0" w:color="auto"/>
          </w:divBdr>
        </w:div>
        <w:div w:id="1693415794">
          <w:marLeft w:val="0"/>
          <w:marRight w:val="0"/>
          <w:marTop w:val="0"/>
          <w:marBottom w:val="0"/>
          <w:divBdr>
            <w:top w:val="none" w:sz="0" w:space="0" w:color="auto"/>
            <w:left w:val="none" w:sz="0" w:space="0" w:color="auto"/>
            <w:bottom w:val="none" w:sz="0" w:space="0" w:color="auto"/>
            <w:right w:val="none" w:sz="0" w:space="0" w:color="auto"/>
          </w:divBdr>
        </w:div>
        <w:div w:id="2114130632">
          <w:marLeft w:val="0"/>
          <w:marRight w:val="0"/>
          <w:marTop w:val="0"/>
          <w:marBottom w:val="0"/>
          <w:divBdr>
            <w:top w:val="none" w:sz="0" w:space="0" w:color="auto"/>
            <w:left w:val="none" w:sz="0" w:space="0" w:color="auto"/>
            <w:bottom w:val="none" w:sz="0" w:space="0" w:color="auto"/>
            <w:right w:val="none" w:sz="0" w:space="0" w:color="auto"/>
          </w:divBdr>
        </w:div>
        <w:div w:id="1375083850">
          <w:marLeft w:val="0"/>
          <w:marRight w:val="0"/>
          <w:marTop w:val="0"/>
          <w:marBottom w:val="0"/>
          <w:divBdr>
            <w:top w:val="none" w:sz="0" w:space="0" w:color="auto"/>
            <w:left w:val="none" w:sz="0" w:space="0" w:color="auto"/>
            <w:bottom w:val="none" w:sz="0" w:space="0" w:color="auto"/>
            <w:right w:val="none" w:sz="0" w:space="0" w:color="auto"/>
          </w:divBdr>
        </w:div>
        <w:div w:id="1084571174">
          <w:marLeft w:val="0"/>
          <w:marRight w:val="0"/>
          <w:marTop w:val="0"/>
          <w:marBottom w:val="0"/>
          <w:divBdr>
            <w:top w:val="none" w:sz="0" w:space="0" w:color="auto"/>
            <w:left w:val="none" w:sz="0" w:space="0" w:color="auto"/>
            <w:bottom w:val="none" w:sz="0" w:space="0" w:color="auto"/>
            <w:right w:val="none" w:sz="0" w:space="0" w:color="auto"/>
          </w:divBdr>
        </w:div>
        <w:div w:id="2080326759">
          <w:marLeft w:val="0"/>
          <w:marRight w:val="0"/>
          <w:marTop w:val="0"/>
          <w:marBottom w:val="0"/>
          <w:divBdr>
            <w:top w:val="none" w:sz="0" w:space="0" w:color="auto"/>
            <w:left w:val="none" w:sz="0" w:space="0" w:color="auto"/>
            <w:bottom w:val="none" w:sz="0" w:space="0" w:color="auto"/>
            <w:right w:val="none" w:sz="0" w:space="0" w:color="auto"/>
          </w:divBdr>
        </w:div>
        <w:div w:id="1201742988">
          <w:marLeft w:val="0"/>
          <w:marRight w:val="0"/>
          <w:marTop w:val="0"/>
          <w:marBottom w:val="0"/>
          <w:divBdr>
            <w:top w:val="none" w:sz="0" w:space="0" w:color="auto"/>
            <w:left w:val="none" w:sz="0" w:space="0" w:color="auto"/>
            <w:bottom w:val="none" w:sz="0" w:space="0" w:color="auto"/>
            <w:right w:val="none" w:sz="0" w:space="0" w:color="auto"/>
          </w:divBdr>
        </w:div>
        <w:div w:id="1930383912">
          <w:marLeft w:val="0"/>
          <w:marRight w:val="0"/>
          <w:marTop w:val="0"/>
          <w:marBottom w:val="0"/>
          <w:divBdr>
            <w:top w:val="none" w:sz="0" w:space="0" w:color="auto"/>
            <w:left w:val="none" w:sz="0" w:space="0" w:color="auto"/>
            <w:bottom w:val="none" w:sz="0" w:space="0" w:color="auto"/>
            <w:right w:val="none" w:sz="0" w:space="0" w:color="auto"/>
          </w:divBdr>
        </w:div>
        <w:div w:id="648559442">
          <w:marLeft w:val="0"/>
          <w:marRight w:val="0"/>
          <w:marTop w:val="0"/>
          <w:marBottom w:val="0"/>
          <w:divBdr>
            <w:top w:val="none" w:sz="0" w:space="0" w:color="auto"/>
            <w:left w:val="none" w:sz="0" w:space="0" w:color="auto"/>
            <w:bottom w:val="none" w:sz="0" w:space="0" w:color="auto"/>
            <w:right w:val="none" w:sz="0" w:space="0" w:color="auto"/>
          </w:divBdr>
        </w:div>
        <w:div w:id="1447237596">
          <w:marLeft w:val="0"/>
          <w:marRight w:val="0"/>
          <w:marTop w:val="0"/>
          <w:marBottom w:val="0"/>
          <w:divBdr>
            <w:top w:val="none" w:sz="0" w:space="0" w:color="auto"/>
            <w:left w:val="none" w:sz="0" w:space="0" w:color="auto"/>
            <w:bottom w:val="none" w:sz="0" w:space="0" w:color="auto"/>
            <w:right w:val="none" w:sz="0" w:space="0" w:color="auto"/>
          </w:divBdr>
        </w:div>
        <w:div w:id="186332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HNYXMCCMVK3K-743504103-430</_dlc_DocId>
    <_dlc_DocIdUrl xmlns="431189f8-a51b-453f-9f0c-3a0b3b65b12f">
      <Url>https://www.sac.edu/President/AcademicSenate/_layouts/15/DocIdRedir.aspx?ID=HNYXMCCMVK3K-743504103-430</Url>
      <Description>HNYXMCCMVK3K-743504103-430</Description>
    </_dlc_DocIdUrl>
  </documentManagement>
</p:properties>
</file>

<file path=customXml/itemProps1.xml><?xml version="1.0" encoding="utf-8"?>
<ds:datastoreItem xmlns:ds="http://schemas.openxmlformats.org/officeDocument/2006/customXml" ds:itemID="{702B528E-C100-4513-B689-58C935FE8E5C}"/>
</file>

<file path=customXml/itemProps2.xml><?xml version="1.0" encoding="utf-8"?>
<ds:datastoreItem xmlns:ds="http://schemas.openxmlformats.org/officeDocument/2006/customXml" ds:itemID="{E6317583-7CB3-4E4C-8DEE-68EFD5CA6095}"/>
</file>

<file path=customXml/itemProps3.xml><?xml version="1.0" encoding="utf-8"?>
<ds:datastoreItem xmlns:ds="http://schemas.openxmlformats.org/officeDocument/2006/customXml" ds:itemID="{F4615E90-1420-4F7D-A72E-D67231986A5E}"/>
</file>

<file path=customXml/itemProps4.xml><?xml version="1.0" encoding="utf-8"?>
<ds:datastoreItem xmlns:ds="http://schemas.openxmlformats.org/officeDocument/2006/customXml" ds:itemID="{676EECC9-3B40-4DDE-84A1-9F5453971442}"/>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3614</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Coyne</dc:creator>
  <cp:keywords/>
  <dc:description/>
  <cp:lastModifiedBy>Claire Coyne</cp:lastModifiedBy>
  <cp:revision>1</cp:revision>
  <dcterms:created xsi:type="dcterms:W3CDTF">2022-05-10T20:06:00Z</dcterms:created>
  <dcterms:modified xsi:type="dcterms:W3CDTF">2022-05-10T20:12:00Z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940f157f-14eb-43ec-bae7-ef26707ba5ce</vt:lpwstr>
  </property>
</Properties>
</file>