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388A" w14:textId="77777777" w:rsidR="00743567" w:rsidRDefault="00B34649" w:rsidP="00743567">
      <w:pPr>
        <w:spacing w:after="120" w:line="259" w:lineRule="auto"/>
        <w:ind w:left="3254" w:firstLine="0"/>
        <w:rPr>
          <w:b/>
          <w:sz w:val="32"/>
        </w:rPr>
      </w:pPr>
      <w:r>
        <w:rPr>
          <w:noProof/>
        </w:rPr>
        <w:drawing>
          <wp:inline distT="0" distB="0" distL="0" distR="0" wp14:anchorId="783C5D70" wp14:editId="3ED99736">
            <wp:extent cx="2598501" cy="87122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8501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F21CF" w14:textId="77777777" w:rsidR="00743567" w:rsidRDefault="00B34649" w:rsidP="00743567">
      <w:pPr>
        <w:spacing w:after="0" w:line="259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t>Curriculum and Instruction Council Report</w:t>
      </w:r>
    </w:p>
    <w:p w14:paraId="7CC8EEF1" w14:textId="03D19288" w:rsidR="00AD1A00" w:rsidRDefault="00160F9C" w:rsidP="00743567">
      <w:pPr>
        <w:spacing w:after="0" w:line="259" w:lineRule="auto"/>
        <w:ind w:left="0" w:firstLine="0"/>
        <w:jc w:val="center"/>
      </w:pPr>
      <w:r>
        <w:rPr>
          <w:b/>
          <w:sz w:val="32"/>
        </w:rPr>
        <w:t>5</w:t>
      </w:r>
      <w:r w:rsidR="00B34649">
        <w:rPr>
          <w:b/>
          <w:sz w:val="32"/>
        </w:rPr>
        <w:t>/</w:t>
      </w:r>
      <w:r>
        <w:rPr>
          <w:b/>
          <w:sz w:val="32"/>
        </w:rPr>
        <w:t>24</w:t>
      </w:r>
      <w:r w:rsidR="00B34649">
        <w:rPr>
          <w:b/>
          <w:sz w:val="32"/>
        </w:rPr>
        <w:t xml:space="preserve">/2022 </w:t>
      </w:r>
    </w:p>
    <w:p w14:paraId="36284946" w14:textId="3CDD1671" w:rsidR="00743567" w:rsidRPr="00743567" w:rsidRDefault="00743567">
      <w:pPr>
        <w:ind w:left="-5"/>
        <w:rPr>
          <w:b/>
          <w:bCs/>
        </w:rPr>
      </w:pPr>
      <w:r w:rsidRPr="00743567">
        <w:rPr>
          <w:b/>
          <w:bCs/>
        </w:rPr>
        <w:t>AB 928</w:t>
      </w:r>
      <w:r w:rsidRPr="00743567">
        <w:rPr>
          <w:b/>
          <w:bCs/>
        </w:rPr>
        <w:t xml:space="preserve"> Update</w:t>
      </w:r>
    </w:p>
    <w:p w14:paraId="188FEE81" w14:textId="0BF013D2" w:rsidR="00B11BF5" w:rsidRDefault="00B11BF5">
      <w:pPr>
        <w:ind w:left="-5"/>
      </w:pPr>
      <w:r>
        <w:t xml:space="preserve">The Special Committee on AB 928 met three times to discuss the singular general education (GE) transfer pathway. After considering several options and patterns, the group came to consensus on a pattern that it believes satisfies the legislation's requirements for both a clear and transparent singular </w:t>
      </w:r>
      <w:proofErr w:type="gramStart"/>
      <w:r>
        <w:t>pathway, and</w:t>
      </w:r>
      <w:proofErr w:type="gramEnd"/>
      <w:r>
        <w:t xml:space="preserve"> maintaining at 34 the total units required to complete the </w:t>
      </w:r>
      <w:proofErr w:type="spellStart"/>
      <w:r>
        <w:t>lntersegmental</w:t>
      </w:r>
      <w:proofErr w:type="spellEnd"/>
      <w:r>
        <w:t xml:space="preserve"> General Education Transfer Curriculum (IGETC). The recommendation is best understood by the attached chart. </w:t>
      </w:r>
      <w:r w:rsidR="00B34649">
        <w:t>Any questions reach out to Claire (</w:t>
      </w:r>
      <w:hyperlink r:id="rId5" w:history="1">
        <w:r w:rsidR="00B34649" w:rsidRPr="00DD57A9">
          <w:rPr>
            <w:rStyle w:val="Hyperlink"/>
          </w:rPr>
          <w:t>coyne_claire@sac.edu</w:t>
        </w:r>
      </w:hyperlink>
      <w:r w:rsidR="00B34649">
        <w:t>) and Paula Canzona, Articulation Officer (canzona_paula@sac.edu)</w:t>
      </w:r>
    </w:p>
    <w:p w14:paraId="319A744C" w14:textId="6B0634CB" w:rsidR="00B11BF5" w:rsidRDefault="00B11BF5">
      <w:pPr>
        <w:ind w:left="-5"/>
      </w:pPr>
      <w:r>
        <w:rPr>
          <w:noProof/>
        </w:rPr>
        <w:drawing>
          <wp:inline distT="0" distB="0" distL="0" distR="0" wp14:anchorId="3595937E" wp14:editId="19B094B1">
            <wp:extent cx="6412834" cy="5076825"/>
            <wp:effectExtent l="0" t="0" r="762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 rotWithShape="1">
                    <a:blip r:embed="rId6"/>
                    <a:srcRect l="30937" t="25029" r="26222" b="14675"/>
                    <a:stretch/>
                  </pic:blipFill>
                  <pic:spPr bwMode="auto">
                    <a:xfrm>
                      <a:off x="0" y="0"/>
                      <a:ext cx="6446729" cy="5103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40A9">
        <w:t xml:space="preserve"> </w:t>
      </w:r>
    </w:p>
    <w:p w14:paraId="0F81E5DF" w14:textId="055C465A" w:rsidR="00B11BF5" w:rsidRDefault="00B11BF5">
      <w:pPr>
        <w:ind w:left="-5"/>
      </w:pPr>
    </w:p>
    <w:p w14:paraId="40038FDC" w14:textId="63B2C85B" w:rsidR="00B11BF5" w:rsidRDefault="00B11BF5">
      <w:pPr>
        <w:ind w:left="-5"/>
      </w:pPr>
    </w:p>
    <w:p w14:paraId="5CBD384D" w14:textId="68243C04" w:rsidR="00B11BF5" w:rsidRDefault="00B11BF5">
      <w:pPr>
        <w:ind w:left="-5"/>
      </w:pPr>
    </w:p>
    <w:p w14:paraId="46A2F92D" w14:textId="77777777" w:rsidR="00743567" w:rsidRDefault="00743567">
      <w:pPr>
        <w:ind w:left="-5"/>
        <w:rPr>
          <w:b/>
          <w:bCs/>
        </w:rPr>
      </w:pPr>
    </w:p>
    <w:p w14:paraId="678FC77D" w14:textId="77777777" w:rsidR="00743567" w:rsidRDefault="00743567">
      <w:pPr>
        <w:ind w:left="-5"/>
        <w:rPr>
          <w:b/>
          <w:bCs/>
        </w:rPr>
      </w:pPr>
    </w:p>
    <w:p w14:paraId="0FBC911B" w14:textId="753E0697" w:rsidR="00E547A4" w:rsidRPr="00743567" w:rsidRDefault="00E547A4">
      <w:pPr>
        <w:ind w:left="-5"/>
        <w:rPr>
          <w:b/>
          <w:bCs/>
        </w:rPr>
      </w:pPr>
      <w:r w:rsidRPr="00743567">
        <w:rPr>
          <w:b/>
          <w:bCs/>
        </w:rPr>
        <w:t>For Fall 2022:</w:t>
      </w:r>
    </w:p>
    <w:p w14:paraId="34D5B25D" w14:textId="00B7346B" w:rsidR="00E547A4" w:rsidRDefault="00E547A4">
      <w:pPr>
        <w:ind w:left="-5"/>
      </w:pPr>
      <w:r w:rsidRPr="00743567">
        <w:rPr>
          <w:b/>
          <w:bCs/>
        </w:rPr>
        <w:t>Class Size Maximum (class caps) Workgroup</w:t>
      </w:r>
      <w:r>
        <w:t>: Anyone interested in developing a policy and processes for class caps, please email me (</w:t>
      </w:r>
      <w:hyperlink r:id="rId7" w:history="1">
        <w:r w:rsidRPr="00DD57A9">
          <w:rPr>
            <w:rStyle w:val="Hyperlink"/>
          </w:rPr>
          <w:t>coyne_claire@sac.edu</w:t>
        </w:r>
      </w:hyperlink>
      <w:r>
        <w:t>)</w:t>
      </w:r>
    </w:p>
    <w:p w14:paraId="4BF9E801" w14:textId="12A3EC58" w:rsidR="00E547A4" w:rsidRPr="00B64123" w:rsidRDefault="00B64123" w:rsidP="00E547A4">
      <w:pPr>
        <w:spacing w:after="0" w:line="240" w:lineRule="auto"/>
        <w:ind w:left="0" w:hanging="14"/>
        <w:rPr>
          <w:rFonts w:eastAsia="Times New Roman"/>
          <w:b/>
          <w:bCs/>
          <w:szCs w:val="24"/>
        </w:rPr>
      </w:pPr>
      <w:r w:rsidRPr="00B64123">
        <w:rPr>
          <w:rFonts w:eastAsia="Times New Roman"/>
          <w:b/>
          <w:bCs/>
          <w:szCs w:val="24"/>
        </w:rPr>
        <w:t xml:space="preserve">Discussion to include </w:t>
      </w:r>
      <w:r w:rsidR="00743567" w:rsidRPr="00B64123">
        <w:rPr>
          <w:rFonts w:eastAsia="Times New Roman"/>
          <w:b/>
          <w:bCs/>
          <w:szCs w:val="24"/>
        </w:rPr>
        <w:t xml:space="preserve">Minimum Qualifications </w:t>
      </w:r>
      <w:r w:rsidRPr="00B64123">
        <w:rPr>
          <w:rFonts w:eastAsia="Times New Roman"/>
          <w:b/>
          <w:bCs/>
          <w:szCs w:val="24"/>
        </w:rPr>
        <w:t>on the Course Outline of Record</w:t>
      </w:r>
    </w:p>
    <w:p w14:paraId="1C1A7FFC" w14:textId="753232CD" w:rsidR="00B64123" w:rsidRDefault="00B64123" w:rsidP="00B64123">
      <w:pPr>
        <w:spacing w:after="0" w:line="240" w:lineRule="auto"/>
        <w:ind w:left="734" w:hanging="14"/>
        <w:rPr>
          <w:rFonts w:eastAsia="Times New Roman"/>
          <w:sz w:val="22"/>
        </w:rPr>
      </w:pPr>
      <w:r>
        <w:t xml:space="preserve">The ASCCC’s adopted position is that discipline designation should be an element of the COR. The ASCCC paper Qualifications </w:t>
      </w:r>
      <w:proofErr w:type="gramStart"/>
      <w:r>
        <w:t>For</w:t>
      </w:r>
      <w:proofErr w:type="gramEnd"/>
      <w:r>
        <w:t xml:space="preserve"> Faculty Service In The California Community Colleges: Minimum Qualifications, Placement Of Courses Within Disciplines, And Faculty Service Areas (2004) states, “For clarity and as a convenient reference, discipline designations should appear on course outlines of record.” Such an indication in the COR can also be an effective practice to prevent confusion in multi-college districts.</w:t>
      </w:r>
    </w:p>
    <w:p w14:paraId="1DF071AF" w14:textId="77777777" w:rsidR="00E547A4" w:rsidRDefault="00E547A4" w:rsidP="00E547A4">
      <w:pPr>
        <w:spacing w:after="0" w:line="240" w:lineRule="auto"/>
        <w:ind w:left="0" w:hanging="14"/>
        <w:rPr>
          <w:rFonts w:eastAsia="Times New Roman"/>
          <w:sz w:val="22"/>
        </w:rPr>
      </w:pPr>
    </w:p>
    <w:p w14:paraId="31250242" w14:textId="77A36E1A" w:rsidR="00E547A4" w:rsidRPr="00B64123" w:rsidRDefault="00BE40A9" w:rsidP="00E547A4">
      <w:pPr>
        <w:spacing w:after="0" w:line="240" w:lineRule="auto"/>
        <w:ind w:left="0" w:hanging="14"/>
        <w:rPr>
          <w:b/>
          <w:bCs/>
          <w:szCs w:val="24"/>
        </w:rPr>
      </w:pPr>
      <w:r w:rsidRPr="00B64123">
        <w:rPr>
          <w:rFonts w:eastAsia="Times New Roman"/>
          <w:b/>
          <w:bCs/>
          <w:szCs w:val="24"/>
        </w:rPr>
        <w:t xml:space="preserve">Professional Development </w:t>
      </w:r>
      <w:r w:rsidR="00E547A4" w:rsidRPr="00B64123">
        <w:rPr>
          <w:rFonts w:eastAsia="Times New Roman"/>
          <w:b/>
          <w:bCs/>
          <w:szCs w:val="24"/>
        </w:rPr>
        <w:t xml:space="preserve">February 2 Via Zoom </w:t>
      </w:r>
      <w:r w:rsidR="00E547A4" w:rsidRPr="00BE40A9">
        <w:rPr>
          <w:rFonts w:eastAsia="Times New Roman"/>
          <w:b/>
          <w:bCs/>
          <w:szCs w:val="24"/>
        </w:rPr>
        <w:t>(1:10-3:10</w:t>
      </w:r>
      <w:r w:rsidR="00B64123">
        <w:rPr>
          <w:rFonts w:eastAsia="Times New Roman"/>
          <w:b/>
          <w:bCs/>
          <w:szCs w:val="24"/>
        </w:rPr>
        <w:t>pm</w:t>
      </w:r>
      <w:r w:rsidR="00E547A4" w:rsidRPr="00BE40A9">
        <w:rPr>
          <w:rFonts w:eastAsia="Times New Roman"/>
          <w:b/>
          <w:bCs/>
          <w:szCs w:val="24"/>
        </w:rPr>
        <w:t>)</w:t>
      </w:r>
    </w:p>
    <w:p w14:paraId="079CB74E" w14:textId="6B7BF910" w:rsidR="00BE40A9" w:rsidRPr="00B64123" w:rsidRDefault="00BE40A9" w:rsidP="00E547A4">
      <w:pPr>
        <w:spacing w:after="0" w:line="240" w:lineRule="auto"/>
        <w:ind w:left="0" w:hanging="14"/>
        <w:rPr>
          <w:rFonts w:eastAsia="Times New Roman"/>
          <w:szCs w:val="24"/>
        </w:rPr>
      </w:pPr>
      <w:r w:rsidRPr="00BE40A9">
        <w:rPr>
          <w:rFonts w:eastAsia="Times New Roman"/>
          <w:szCs w:val="24"/>
        </w:rPr>
        <w:t xml:space="preserve">Best Practices for Courses and Programs due for Quadrennial Review ~ Claire Coyne, Stephanie Clark </w:t>
      </w:r>
    </w:p>
    <w:p w14:paraId="0E0EC19E" w14:textId="5D11D29E" w:rsidR="00E547A4" w:rsidRPr="00B64123" w:rsidRDefault="00E547A4" w:rsidP="00E547A4">
      <w:pPr>
        <w:spacing w:after="0" w:line="240" w:lineRule="auto"/>
        <w:ind w:left="0" w:hanging="14"/>
        <w:rPr>
          <w:szCs w:val="24"/>
        </w:rPr>
      </w:pPr>
      <w:r w:rsidRPr="00B64123">
        <w:rPr>
          <w:rFonts w:eastAsia="Times New Roman"/>
          <w:szCs w:val="24"/>
        </w:rPr>
        <w:t>Quadrennial Reviews (courses and programs) due by October 17</w:t>
      </w:r>
    </w:p>
    <w:p w14:paraId="616B7524" w14:textId="35AEB1E1" w:rsidR="00B11BF5" w:rsidRDefault="00B11BF5">
      <w:pPr>
        <w:ind w:left="-5"/>
      </w:pPr>
    </w:p>
    <w:p w14:paraId="09EACA46" w14:textId="77777777" w:rsidR="00B64123" w:rsidRDefault="00B64123">
      <w:pPr>
        <w:ind w:left="-5"/>
      </w:pPr>
    </w:p>
    <w:p w14:paraId="04EC4C6B" w14:textId="6BDA4D8A" w:rsidR="00AD1A00" w:rsidRDefault="00B34649">
      <w:pPr>
        <w:spacing w:after="0" w:line="259" w:lineRule="auto"/>
        <w:ind w:left="62" w:firstLine="0"/>
        <w:jc w:val="center"/>
      </w:pPr>
      <w:r>
        <w:rPr>
          <w:i/>
          <w:sz w:val="16"/>
        </w:rPr>
        <w:t xml:space="preserve">Mission Statement Santa Ana College inspires, </w:t>
      </w:r>
      <w:r w:rsidR="00B64123">
        <w:rPr>
          <w:i/>
          <w:sz w:val="16"/>
        </w:rPr>
        <w:t>transforms,</w:t>
      </w:r>
      <w:r>
        <w:rPr>
          <w:i/>
          <w:sz w:val="16"/>
        </w:rPr>
        <w:t xml:space="preserve"> and empow</w:t>
      </w:r>
      <w:r>
        <w:rPr>
          <w:i/>
          <w:sz w:val="16"/>
        </w:rPr>
        <w:t>ers a diverse community of learners.</w:t>
      </w:r>
    </w:p>
    <w:sectPr w:rsidR="00AD1A00">
      <w:pgSz w:w="12240" w:h="15840"/>
      <w:pgMar w:top="432" w:right="876" w:bottom="1440" w:left="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00"/>
    <w:rsid w:val="00160F9C"/>
    <w:rsid w:val="00743567"/>
    <w:rsid w:val="00AD1A00"/>
    <w:rsid w:val="00B11BF5"/>
    <w:rsid w:val="00B34649"/>
    <w:rsid w:val="00B64123"/>
    <w:rsid w:val="00BE40A9"/>
    <w:rsid w:val="00E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8ADE"/>
  <w15:docId w15:val="{CE60A449-814C-449D-9EA6-B6045BF3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1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yperlink" Target="mailto:coyne_claire@sac.edu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hyperlink" Target="mailto:coyne_claire@sac.edu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HNYXMCCMVK3K-743504103-441</_dlc_DocId>
    <_dlc_DocIdUrl xmlns="431189f8-a51b-453f-9f0c-3a0b3b65b12f">
      <Url>https://sac.edu/President/AcademicSenate/_layouts/15/DocIdRedir.aspx?ID=HNYXMCCMVK3K-743504103-441</Url>
      <Description>HNYXMCCMVK3K-743504103-441</Description>
    </_dlc_DocIdUrl>
  </documentManagement>
</p:properties>
</file>

<file path=customXml/itemProps1.xml><?xml version="1.0" encoding="utf-8"?>
<ds:datastoreItem xmlns:ds="http://schemas.openxmlformats.org/officeDocument/2006/customXml" ds:itemID="{73A5DBF7-FD34-4E0C-BA3D-F81B3C7D4E87}"/>
</file>

<file path=customXml/itemProps2.xml><?xml version="1.0" encoding="utf-8"?>
<ds:datastoreItem xmlns:ds="http://schemas.openxmlformats.org/officeDocument/2006/customXml" ds:itemID="{07C5ABC8-0DAB-4939-B57A-F1D73448DEB6}"/>
</file>

<file path=customXml/itemProps3.xml><?xml version="1.0" encoding="utf-8"?>
<ds:datastoreItem xmlns:ds="http://schemas.openxmlformats.org/officeDocument/2006/customXml" ds:itemID="{7991C80A-4531-4C87-A320-284880347587}"/>
</file>

<file path=customXml/itemProps4.xml><?xml version="1.0" encoding="utf-8"?>
<ds:datastoreItem xmlns:ds="http://schemas.openxmlformats.org/officeDocument/2006/customXml" ds:itemID="{EB950BE7-29AB-4C71-9318-BEE4956AF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Coyne, Claire</dc:creator>
  <cp:keywords/>
  <cp:lastModifiedBy>Claire Coyne</cp:lastModifiedBy>
  <cp:revision>2</cp:revision>
  <dcterms:created xsi:type="dcterms:W3CDTF">2022-05-24T21:23:00Z</dcterms:created>
  <dcterms:modified xsi:type="dcterms:W3CDTF">2022-05-24T21:23:00Z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7f48b5a4-1317-4315-a734-5f1e116dc074</vt:lpwstr>
  </property>
</Properties>
</file>