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33F2F" w14:textId="77777777" w:rsidR="00605AA1" w:rsidRDefault="00AE37ED">
      <w:pPr>
        <w:spacing w:after="0" w:line="259" w:lineRule="auto"/>
        <w:ind w:left="0" w:right="0" w:firstLine="0"/>
      </w:pPr>
      <w:r>
        <w:rPr>
          <w:noProof/>
        </w:rPr>
        <w:drawing>
          <wp:inline distT="0" distB="0" distL="0" distR="0" wp14:anchorId="2CDC6B4E" wp14:editId="1F0D5B17">
            <wp:extent cx="2236470" cy="428591"/>
            <wp:effectExtent l="0" t="0" r="0" b="0"/>
            <wp:docPr id="157" name="Picture 157"/>
            <wp:cNvGraphicFramePr/>
            <a:graphic xmlns:a="http://schemas.openxmlformats.org/drawingml/2006/main">
              <a:graphicData uri="http://schemas.openxmlformats.org/drawingml/2006/picture">
                <pic:pic xmlns:pic="http://schemas.openxmlformats.org/drawingml/2006/picture">
                  <pic:nvPicPr>
                    <pic:cNvPr id="157" name="Picture 157"/>
                    <pic:cNvPicPr/>
                  </pic:nvPicPr>
                  <pic:blipFill>
                    <a:blip r:embed="rId5"/>
                    <a:stretch>
                      <a:fillRect/>
                    </a:stretch>
                  </pic:blipFill>
                  <pic:spPr>
                    <a:xfrm>
                      <a:off x="0" y="0"/>
                      <a:ext cx="2236470" cy="428591"/>
                    </a:xfrm>
                    <a:prstGeom prst="rect">
                      <a:avLst/>
                    </a:prstGeom>
                  </pic:spPr>
                </pic:pic>
              </a:graphicData>
            </a:graphic>
          </wp:inline>
        </w:drawing>
      </w:r>
      <w:r>
        <w:rPr>
          <w:rFonts w:ascii="Calibri" w:eastAsia="Calibri" w:hAnsi="Calibri" w:cs="Calibri"/>
        </w:rPr>
        <w:t xml:space="preserve"> </w:t>
      </w:r>
    </w:p>
    <w:p w14:paraId="6B6BD3F9" w14:textId="77777777" w:rsidR="00605AA1" w:rsidRDefault="00AE37ED">
      <w:pPr>
        <w:spacing w:after="165" w:line="259" w:lineRule="auto"/>
        <w:ind w:left="0" w:right="0" w:firstLine="0"/>
      </w:pPr>
      <w:r>
        <w:rPr>
          <w:rFonts w:ascii="Calibri" w:eastAsia="Calibri" w:hAnsi="Calibri" w:cs="Calibri"/>
        </w:rPr>
        <w:t xml:space="preserve"> </w:t>
      </w:r>
    </w:p>
    <w:p w14:paraId="22AFF8DC" w14:textId="4D24C628" w:rsidR="00605AA1" w:rsidRDefault="00AE37ED">
      <w:pPr>
        <w:spacing w:after="0" w:line="393" w:lineRule="auto"/>
        <w:ind w:left="2501" w:right="2001" w:firstLine="326"/>
      </w:pPr>
      <w:r>
        <w:rPr>
          <w:rFonts w:ascii="Aptos Display" w:eastAsia="Aptos Display" w:hAnsi="Aptos Display" w:cs="Aptos Display"/>
          <w:b/>
          <w:sz w:val="23"/>
          <w:u w:val="single" w:color="000000"/>
        </w:rPr>
        <w:t>Guided Pathways Steering Committee</w:t>
      </w:r>
      <w:r>
        <w:rPr>
          <w:rFonts w:ascii="Aptos Display" w:eastAsia="Aptos Display" w:hAnsi="Aptos Display" w:cs="Aptos Display"/>
          <w:b/>
          <w:sz w:val="23"/>
        </w:rPr>
        <w:t xml:space="preserve"> </w:t>
      </w:r>
      <w:r>
        <w:rPr>
          <w:rFonts w:ascii="Aptos Display" w:eastAsia="Aptos Display" w:hAnsi="Aptos Display" w:cs="Aptos Display"/>
          <w:sz w:val="23"/>
        </w:rPr>
        <w:t xml:space="preserve"> </w:t>
      </w:r>
      <w:r w:rsidR="00AD72A0">
        <w:rPr>
          <w:rFonts w:ascii="Aptos Display" w:eastAsia="Aptos Display" w:hAnsi="Aptos Display" w:cs="Aptos Display"/>
          <w:b/>
          <w:sz w:val="23"/>
          <w:u w:val="single" w:color="000000"/>
        </w:rPr>
        <w:t xml:space="preserve">Academic Senate </w:t>
      </w:r>
      <w:r>
        <w:rPr>
          <w:rFonts w:ascii="Aptos Display" w:eastAsia="Aptos Display" w:hAnsi="Aptos Display" w:cs="Aptos Display"/>
          <w:b/>
          <w:sz w:val="23"/>
          <w:u w:val="single" w:color="000000"/>
        </w:rPr>
        <w:t>Report – November 1</w:t>
      </w:r>
      <w:r w:rsidR="00AD72A0">
        <w:rPr>
          <w:rFonts w:ascii="Aptos Display" w:eastAsia="Aptos Display" w:hAnsi="Aptos Display" w:cs="Aptos Display"/>
          <w:b/>
          <w:sz w:val="23"/>
          <w:u w:val="single" w:color="000000"/>
        </w:rPr>
        <w:t xml:space="preserve">2, </w:t>
      </w:r>
      <w:r>
        <w:rPr>
          <w:rFonts w:ascii="Aptos Display" w:eastAsia="Aptos Display" w:hAnsi="Aptos Display" w:cs="Aptos Display"/>
          <w:b/>
          <w:sz w:val="23"/>
          <w:u w:val="single" w:color="000000"/>
        </w:rPr>
        <w:t>2024</w:t>
      </w:r>
      <w:r>
        <w:rPr>
          <w:rFonts w:ascii="Aptos Display" w:eastAsia="Aptos Display" w:hAnsi="Aptos Display" w:cs="Aptos Display"/>
          <w:sz w:val="23"/>
        </w:rPr>
        <w:t xml:space="preserve"> </w:t>
      </w:r>
    </w:p>
    <w:p w14:paraId="53EADE12" w14:textId="77777777" w:rsidR="00605AA1" w:rsidRDefault="00AE37ED">
      <w:pPr>
        <w:spacing w:after="157" w:line="259" w:lineRule="auto"/>
        <w:ind w:left="0" w:right="0" w:firstLine="0"/>
      </w:pPr>
      <w:r>
        <w:rPr>
          <w:sz w:val="20"/>
          <w:u w:val="single" w:color="000000"/>
        </w:rPr>
        <w:t>Guided Pathways Leadership:</w:t>
      </w:r>
      <w:r>
        <w:rPr>
          <w:sz w:val="20"/>
        </w:rPr>
        <w:t xml:space="preserve">  </w:t>
      </w:r>
    </w:p>
    <w:p w14:paraId="745643AF" w14:textId="77777777" w:rsidR="00605AA1" w:rsidRDefault="00AE37ED">
      <w:pPr>
        <w:spacing w:after="157" w:line="259" w:lineRule="auto"/>
        <w:ind w:left="-5" w:right="0"/>
      </w:pPr>
      <w:r>
        <w:rPr>
          <w:sz w:val="20"/>
        </w:rPr>
        <w:t xml:space="preserve">Vice President, Dr. V. Hubbard &amp; Dean, Dr. G. </w:t>
      </w:r>
      <w:proofErr w:type="spellStart"/>
      <w:r>
        <w:rPr>
          <w:sz w:val="20"/>
        </w:rPr>
        <w:t>Toya</w:t>
      </w:r>
      <w:proofErr w:type="spellEnd"/>
      <w:r>
        <w:rPr>
          <w:sz w:val="20"/>
        </w:rPr>
        <w:t xml:space="preserve"> </w:t>
      </w:r>
    </w:p>
    <w:p w14:paraId="2C6F870A" w14:textId="77777777" w:rsidR="00605AA1" w:rsidRDefault="00AE37ED">
      <w:pPr>
        <w:spacing w:after="157" w:line="259" w:lineRule="auto"/>
        <w:ind w:left="-5" w:right="0"/>
      </w:pPr>
      <w:r>
        <w:rPr>
          <w:sz w:val="20"/>
        </w:rPr>
        <w:t xml:space="preserve">Report by: Tanisha L. </w:t>
      </w:r>
      <w:proofErr w:type="spellStart"/>
      <w:r>
        <w:rPr>
          <w:sz w:val="20"/>
        </w:rPr>
        <w:t>Burrus</w:t>
      </w:r>
      <w:proofErr w:type="spellEnd"/>
      <w:r>
        <w:rPr>
          <w:sz w:val="20"/>
        </w:rPr>
        <w:t xml:space="preserve">, Director of Student Success/Co-Chair/Claire Coyne, Co-Chair </w:t>
      </w:r>
    </w:p>
    <w:p w14:paraId="27FBC824" w14:textId="77777777" w:rsidR="00C65866" w:rsidRDefault="00AE37ED">
      <w:pPr>
        <w:spacing w:after="0" w:line="398" w:lineRule="auto"/>
        <w:ind w:left="-5" w:right="3688"/>
        <w:rPr>
          <w:sz w:val="20"/>
        </w:rPr>
      </w:pPr>
      <w:r>
        <w:rPr>
          <w:sz w:val="20"/>
          <w:u w:val="single" w:color="000000"/>
        </w:rPr>
        <w:t>Meeting date/time</w:t>
      </w:r>
      <w:r>
        <w:rPr>
          <w:sz w:val="20"/>
        </w:rPr>
        <w:t xml:space="preserve">: Wednesday, November 4 from 9 am-11 am </w:t>
      </w:r>
    </w:p>
    <w:p w14:paraId="4D9C44DA" w14:textId="64623E45" w:rsidR="00605AA1" w:rsidRDefault="00AE37ED">
      <w:pPr>
        <w:spacing w:after="0" w:line="398" w:lineRule="auto"/>
        <w:ind w:left="-5" w:right="3688"/>
      </w:pPr>
      <w:r>
        <w:rPr>
          <w:rFonts w:ascii="Aptos Display" w:eastAsia="Aptos Display" w:hAnsi="Aptos Display" w:cs="Aptos Display"/>
          <w:b/>
          <w:u w:val="single" w:color="000000"/>
        </w:rPr>
        <w:t>Meeting Highlights:</w:t>
      </w:r>
      <w:r>
        <w:rPr>
          <w:rFonts w:ascii="Aptos Display" w:eastAsia="Aptos Display" w:hAnsi="Aptos Display" w:cs="Aptos Display"/>
          <w:b/>
        </w:rPr>
        <w:t xml:space="preserve"> </w:t>
      </w:r>
    </w:p>
    <w:p w14:paraId="7F0A3E33" w14:textId="77777777" w:rsidR="00605AA1" w:rsidRDefault="00AE37ED">
      <w:pPr>
        <w:numPr>
          <w:ilvl w:val="0"/>
          <w:numId w:val="1"/>
        </w:numPr>
        <w:spacing w:after="2" w:line="402" w:lineRule="auto"/>
        <w:ind w:right="3090" w:hanging="360"/>
      </w:pPr>
      <w:r>
        <w:rPr>
          <w:u w:val="single" w:color="000000"/>
        </w:rPr>
        <w:t>Discussion: Decolonizing Guided Pathways Terminology</w:t>
      </w:r>
      <w:r>
        <w:t xml:space="preserve"> Constituent feedback included:  </w:t>
      </w:r>
    </w:p>
    <w:p w14:paraId="47013705" w14:textId="77777777" w:rsidR="00605AA1" w:rsidRDefault="00AE37ED">
      <w:pPr>
        <w:numPr>
          <w:ilvl w:val="1"/>
          <w:numId w:val="1"/>
        </w:numPr>
        <w:ind w:right="6" w:hanging="360"/>
      </w:pPr>
      <w:r>
        <w:t xml:space="preserve">Students don’t really know or use the term ‘pillar’ but did mention more students are recognizing and using the term Career &amp; Academic Pathway (CAP). </w:t>
      </w:r>
    </w:p>
    <w:p w14:paraId="14A88479" w14:textId="77777777" w:rsidR="00605AA1" w:rsidRDefault="00AE37ED">
      <w:pPr>
        <w:numPr>
          <w:ilvl w:val="1"/>
          <w:numId w:val="1"/>
        </w:numPr>
        <w:ind w:right="6" w:hanging="360"/>
      </w:pPr>
      <w:r>
        <w:t xml:space="preserve">The faculty and </w:t>
      </w:r>
      <w:r>
        <w:t>classified professional perspectives were that we</w:t>
      </w:r>
      <w:r>
        <w:t xml:space="preserve"> should, and student services managers recommend researching and consider changing the terminology, but for now, focus on completing the goals and closing equity gaps. </w:t>
      </w:r>
    </w:p>
    <w:p w14:paraId="1FEEDEA4" w14:textId="77777777" w:rsidR="00605AA1" w:rsidRDefault="00AE37ED">
      <w:pPr>
        <w:numPr>
          <w:ilvl w:val="1"/>
          <w:numId w:val="1"/>
        </w:numPr>
        <w:ind w:right="6" w:hanging="360"/>
      </w:pPr>
      <w:r>
        <w:t xml:space="preserve">Moving forward, the committee will continue to research examples from other campuses throughout the rest of the academic year and over the summer and will consider presenting changes to revisit considering changing the term 'pillar' at the beginning of the 2025-2026 academic year. </w:t>
      </w:r>
    </w:p>
    <w:p w14:paraId="29DFF466" w14:textId="77777777" w:rsidR="00605AA1" w:rsidRDefault="00AE37ED">
      <w:pPr>
        <w:spacing w:after="3" w:line="259" w:lineRule="auto"/>
        <w:ind w:left="720" w:right="0" w:firstLine="0"/>
      </w:pPr>
      <w:r>
        <w:t xml:space="preserve"> </w:t>
      </w:r>
    </w:p>
    <w:p w14:paraId="0FAFB716" w14:textId="77777777" w:rsidR="00605AA1" w:rsidRDefault="00AE37ED">
      <w:pPr>
        <w:numPr>
          <w:ilvl w:val="0"/>
          <w:numId w:val="1"/>
        </w:numPr>
        <w:spacing w:after="2" w:line="259" w:lineRule="auto"/>
        <w:ind w:right="3090" w:hanging="360"/>
      </w:pPr>
      <w:r>
        <w:rPr>
          <w:u w:val="single" w:color="000000"/>
        </w:rPr>
        <w:t>Success Teams Update</w:t>
      </w:r>
      <w:r>
        <w:t xml:space="preserve"> </w:t>
      </w:r>
    </w:p>
    <w:p w14:paraId="630F8C26" w14:textId="77777777" w:rsidR="00605AA1" w:rsidRDefault="00AE37ED">
      <w:pPr>
        <w:numPr>
          <w:ilvl w:val="1"/>
          <w:numId w:val="1"/>
        </w:numPr>
        <w:ind w:right="6" w:hanging="360"/>
      </w:pPr>
      <w:r>
        <w:t xml:space="preserve">Each team has CAP Coordinators and Success Coaches </w:t>
      </w:r>
    </w:p>
    <w:p w14:paraId="668080BE" w14:textId="77777777" w:rsidR="00605AA1" w:rsidRDefault="00AE37ED">
      <w:pPr>
        <w:numPr>
          <w:ilvl w:val="2"/>
          <w:numId w:val="1"/>
        </w:numPr>
        <w:ind w:right="6" w:hanging="360"/>
      </w:pPr>
      <w:r>
        <w:t xml:space="preserve">Most of the Success Teams are promoting events throughout the year. A few teams are </w:t>
      </w:r>
      <w:r>
        <w:t>promoting events during specific month</w:t>
      </w:r>
      <w:r>
        <w:t xml:space="preserve">s (CAP Months). </w:t>
      </w:r>
    </w:p>
    <w:p w14:paraId="6AD7EB49" w14:textId="77777777" w:rsidR="00605AA1" w:rsidRDefault="00AE37ED">
      <w:pPr>
        <w:numPr>
          <w:ilvl w:val="3"/>
          <w:numId w:val="1"/>
        </w:numPr>
        <w:ind w:right="371" w:hanging="360"/>
      </w:pPr>
      <w:r>
        <w:t>Future Educators CAP Month is in November/STEM CAP Month is in April ii)</w:t>
      </w:r>
      <w:r>
        <w:rPr>
          <w:rFonts w:ascii="Arial" w:eastAsia="Arial" w:hAnsi="Arial" w:cs="Arial"/>
        </w:rPr>
        <w:t xml:space="preserve"> </w:t>
      </w:r>
      <w:r>
        <w:t xml:space="preserve"> </w:t>
      </w:r>
      <w:r>
        <w:t>Success Coaches addressed Attendance and Participation flags (257) from the 9</w:t>
      </w:r>
      <w:r>
        <w:t xml:space="preserve">-week </w:t>
      </w:r>
    </w:p>
    <w:p w14:paraId="786A4FCB" w14:textId="77777777" w:rsidR="00605AA1" w:rsidRDefault="00AE37ED">
      <w:pPr>
        <w:ind w:left="720" w:right="117" w:firstLine="360"/>
      </w:pPr>
      <w:r>
        <w:t>Progress Survey iii)</w:t>
      </w:r>
      <w:r>
        <w:rPr>
          <w:rFonts w:ascii="Arial" w:eastAsia="Arial" w:hAnsi="Arial" w:cs="Arial"/>
        </w:rPr>
        <w:t xml:space="preserve"> </w:t>
      </w:r>
      <w:r>
        <w:t xml:space="preserve">Helping Others Success Team is focusing on developing a program to gather information about the student experience. </w:t>
      </w:r>
    </w:p>
    <w:p w14:paraId="21841DC0" w14:textId="77777777" w:rsidR="00605AA1" w:rsidRDefault="00AE37ED">
      <w:pPr>
        <w:spacing w:after="4" w:line="259" w:lineRule="auto"/>
        <w:ind w:left="1080" w:right="0" w:firstLine="0"/>
      </w:pPr>
      <w:r>
        <w:t xml:space="preserve"> </w:t>
      </w:r>
    </w:p>
    <w:p w14:paraId="64762417" w14:textId="77777777" w:rsidR="00605AA1" w:rsidRDefault="00AE37ED">
      <w:pPr>
        <w:numPr>
          <w:ilvl w:val="0"/>
          <w:numId w:val="1"/>
        </w:numPr>
        <w:spacing w:after="2" w:line="259" w:lineRule="auto"/>
        <w:ind w:right="3090" w:hanging="360"/>
      </w:pPr>
      <w:r>
        <w:rPr>
          <w:u w:val="single" w:color="000000"/>
        </w:rPr>
        <w:t>SEAP Update</w:t>
      </w:r>
      <w:r>
        <w:t xml:space="preserve"> </w:t>
      </w:r>
    </w:p>
    <w:p w14:paraId="2353824A" w14:textId="77777777" w:rsidR="00605AA1" w:rsidRDefault="00AE37ED">
      <w:pPr>
        <w:numPr>
          <w:ilvl w:val="1"/>
          <w:numId w:val="1"/>
        </w:numPr>
        <w:ind w:right="6" w:hanging="360"/>
      </w:pPr>
      <w:r>
        <w:t xml:space="preserve">Professor Chantal </w:t>
      </w:r>
      <w:proofErr w:type="spellStart"/>
      <w:r>
        <w:t>Lamourelle</w:t>
      </w:r>
      <w:proofErr w:type="spellEnd"/>
      <w:r>
        <w:t xml:space="preserve"> announced the fall 2024 Student Equity and Achievement Program </w:t>
      </w:r>
    </w:p>
    <w:p w14:paraId="55BA14FE" w14:textId="77777777" w:rsidR="00605AA1" w:rsidRDefault="00AE37ED">
      <w:pPr>
        <w:ind w:left="730" w:right="6"/>
      </w:pPr>
      <w:r>
        <w:t>(SEAP) in collaboration with Student Services-"Stay and Finish Strong Equity Resource Fair today, November 13</w:t>
      </w:r>
      <w:r>
        <w:rPr>
          <w:sz w:val="20"/>
          <w:vertAlign w:val="superscript"/>
        </w:rPr>
        <w:t>th</w:t>
      </w:r>
      <w:r>
        <w:t xml:space="preserve"> from 9 am-2:00 pm and 3 pm-5:30 pm.   The purpose of the event is to connect with campus programs and resources to discover and develop your academic, social-emotional and personal life and learning goals. </w:t>
      </w:r>
    </w:p>
    <w:p w14:paraId="5EC43262" w14:textId="77777777" w:rsidR="00605AA1" w:rsidRDefault="00AE37ED">
      <w:pPr>
        <w:spacing w:after="0" w:line="259" w:lineRule="auto"/>
        <w:ind w:left="720" w:right="0" w:firstLine="0"/>
      </w:pPr>
      <w:r>
        <w:t xml:space="preserve"> </w:t>
      </w:r>
    </w:p>
    <w:p w14:paraId="27CDB8D6" w14:textId="77777777" w:rsidR="00605AA1" w:rsidRDefault="00AE37ED">
      <w:pPr>
        <w:spacing w:after="0" w:line="259" w:lineRule="auto"/>
        <w:ind w:left="720" w:right="0" w:firstLine="0"/>
      </w:pPr>
      <w:r>
        <w:t xml:space="preserve"> </w:t>
      </w:r>
    </w:p>
    <w:p w14:paraId="1A38BE6A" w14:textId="77777777" w:rsidR="00605AA1" w:rsidRDefault="00AE37ED">
      <w:pPr>
        <w:spacing w:after="0" w:line="259" w:lineRule="auto"/>
        <w:ind w:left="0" w:right="0" w:firstLine="0"/>
      </w:pPr>
      <w:r>
        <w:rPr>
          <w:noProof/>
        </w:rPr>
        <w:drawing>
          <wp:inline distT="0" distB="0" distL="0" distR="0" wp14:anchorId="5E6C4D55" wp14:editId="7BDF96C2">
            <wp:extent cx="2236470" cy="428591"/>
            <wp:effectExtent l="0" t="0" r="0" b="0"/>
            <wp:docPr id="257" name="Picture 257"/>
            <wp:cNvGraphicFramePr/>
            <a:graphic xmlns:a="http://schemas.openxmlformats.org/drawingml/2006/main">
              <a:graphicData uri="http://schemas.openxmlformats.org/drawingml/2006/picture">
                <pic:pic xmlns:pic="http://schemas.openxmlformats.org/drawingml/2006/picture">
                  <pic:nvPicPr>
                    <pic:cNvPr id="257" name="Picture 257"/>
                    <pic:cNvPicPr/>
                  </pic:nvPicPr>
                  <pic:blipFill>
                    <a:blip r:embed="rId5"/>
                    <a:stretch>
                      <a:fillRect/>
                    </a:stretch>
                  </pic:blipFill>
                  <pic:spPr>
                    <a:xfrm>
                      <a:off x="0" y="0"/>
                      <a:ext cx="2236470" cy="428591"/>
                    </a:xfrm>
                    <a:prstGeom prst="rect">
                      <a:avLst/>
                    </a:prstGeom>
                  </pic:spPr>
                </pic:pic>
              </a:graphicData>
            </a:graphic>
          </wp:inline>
        </w:drawing>
      </w:r>
      <w:r>
        <w:rPr>
          <w:rFonts w:ascii="Calibri" w:eastAsia="Calibri" w:hAnsi="Calibri" w:cs="Calibri"/>
        </w:rPr>
        <w:t xml:space="preserve"> </w:t>
      </w:r>
    </w:p>
    <w:p w14:paraId="0DEDA5BA" w14:textId="77777777" w:rsidR="00605AA1" w:rsidRDefault="00AE37ED">
      <w:pPr>
        <w:spacing w:after="0" w:line="259" w:lineRule="auto"/>
        <w:ind w:left="720" w:right="0" w:firstLine="0"/>
      </w:pPr>
      <w:r>
        <w:lastRenderedPageBreak/>
        <w:t xml:space="preserve"> </w:t>
      </w:r>
    </w:p>
    <w:p w14:paraId="70FB9367" w14:textId="77777777" w:rsidR="00605AA1" w:rsidRDefault="00AE37ED">
      <w:pPr>
        <w:spacing w:after="3" w:line="259" w:lineRule="auto"/>
        <w:ind w:left="720" w:right="0" w:firstLine="0"/>
      </w:pPr>
      <w:r>
        <w:t xml:space="preserve"> </w:t>
      </w:r>
    </w:p>
    <w:p w14:paraId="7E52D784" w14:textId="77777777" w:rsidR="00605AA1" w:rsidRDefault="00AE37ED">
      <w:pPr>
        <w:numPr>
          <w:ilvl w:val="0"/>
          <w:numId w:val="1"/>
        </w:numPr>
        <w:spacing w:after="2" w:line="259" w:lineRule="auto"/>
        <w:ind w:right="3090" w:hanging="360"/>
      </w:pPr>
      <w:r>
        <w:rPr>
          <w:u w:val="single" w:color="000000"/>
        </w:rPr>
        <w:t>GP (Pillar) Subcommittees:</w:t>
      </w:r>
      <w:r>
        <w:t xml:space="preserve"> </w:t>
      </w:r>
    </w:p>
    <w:p w14:paraId="4B22E1F5" w14:textId="77777777" w:rsidR="00605AA1" w:rsidRDefault="00AE37ED">
      <w:pPr>
        <w:numPr>
          <w:ilvl w:val="1"/>
          <w:numId w:val="1"/>
        </w:numPr>
        <w:ind w:right="6" w:hanging="360"/>
      </w:pPr>
      <w:r>
        <w:t xml:space="preserve">Co-Leads reported that meetings have commenced and progress on completing the Guided </w:t>
      </w:r>
    </w:p>
    <w:p w14:paraId="1443495A" w14:textId="77777777" w:rsidR="00605AA1" w:rsidRDefault="00AE37ED">
      <w:pPr>
        <w:ind w:left="731" w:right="6"/>
      </w:pPr>
      <w:r>
        <w:t xml:space="preserve">Pathways Work Plan Goal  </w:t>
      </w:r>
    </w:p>
    <w:p w14:paraId="7461B0E6" w14:textId="77777777" w:rsidR="00605AA1" w:rsidRDefault="00AE37ED">
      <w:pPr>
        <w:numPr>
          <w:ilvl w:val="1"/>
          <w:numId w:val="1"/>
        </w:numPr>
        <w:spacing w:after="2" w:line="259" w:lineRule="auto"/>
        <w:ind w:right="6" w:hanging="360"/>
      </w:pPr>
      <w:r>
        <w:rPr>
          <w:u w:val="single" w:color="000000"/>
        </w:rPr>
        <w:t>Highlights:</w:t>
      </w:r>
      <w:r>
        <w:t xml:space="preserve"> </w:t>
      </w:r>
    </w:p>
    <w:p w14:paraId="62CC5207" w14:textId="77777777" w:rsidR="00605AA1" w:rsidRDefault="00AE37ED">
      <w:pPr>
        <w:numPr>
          <w:ilvl w:val="2"/>
          <w:numId w:val="1"/>
        </w:numPr>
        <w:ind w:right="6" w:hanging="360"/>
      </w:pPr>
      <w:r>
        <w:t xml:space="preserve">Stay on the Path Subcommittee (Pillar 2):  </w:t>
      </w:r>
    </w:p>
    <w:p w14:paraId="5373B4BA" w14:textId="77777777" w:rsidR="00605AA1" w:rsidRDefault="00AE37ED">
      <w:pPr>
        <w:numPr>
          <w:ilvl w:val="3"/>
          <w:numId w:val="1"/>
        </w:numPr>
        <w:spacing w:after="168"/>
        <w:ind w:right="371" w:hanging="360"/>
      </w:pPr>
      <w:r>
        <w:t>Goal 1: 75% of high school seniors participating in SAC's "</w:t>
      </w:r>
      <w:r>
        <w:t xml:space="preserve">Early Decision" initiative will enroll and matriculate remained enrolled past census in the upcoming fall semester. </w:t>
      </w:r>
      <w:r>
        <w:t xml:space="preserve">88% </w:t>
      </w:r>
      <w:r>
        <w:t xml:space="preserve">of the students who participated in Early Decision remained enrolled past census. </w:t>
      </w:r>
    </w:p>
    <w:p w14:paraId="18E929C6" w14:textId="77777777" w:rsidR="00605AA1" w:rsidRDefault="00AE37ED">
      <w:pPr>
        <w:numPr>
          <w:ilvl w:val="2"/>
          <w:numId w:val="1"/>
        </w:numPr>
        <w:spacing w:after="169"/>
        <w:ind w:right="6" w:hanging="360"/>
      </w:pPr>
      <w:r>
        <w:t xml:space="preserve">Ensure Learning Pathway Subcommittee (Pillar 4): Goal 1: Increase the current completion rate of </w:t>
      </w:r>
      <w:r>
        <w:t xml:space="preserve">Transfer level Math and English from 9% to 25% by end of 2026. </w:t>
      </w:r>
      <w:r>
        <w:t xml:space="preserve"> </w:t>
      </w:r>
    </w:p>
    <w:p w14:paraId="43F4617A" w14:textId="77777777" w:rsidR="00605AA1" w:rsidRDefault="00AE37ED">
      <w:pPr>
        <w:ind w:left="1440" w:right="6" w:hanging="360"/>
      </w:pPr>
      <w:r>
        <w:t>(2)</w:t>
      </w:r>
      <w:r>
        <w:rPr>
          <w:rFonts w:ascii="Arial" w:eastAsia="Arial" w:hAnsi="Arial" w:cs="Arial"/>
        </w:rPr>
        <w:t xml:space="preserve"> </w:t>
      </w:r>
      <w:r>
        <w:t>P</w:t>
      </w:r>
      <w:r>
        <w:t xml:space="preserve">rofessor Aziz shared that the English AB 705 completed quantitative and qualitative data </w:t>
      </w:r>
      <w:r>
        <w:t xml:space="preserve">on English 066 students, some results led to collaboration with the Learning Center to create structured English support with Instructional Aides and a partnership with the counselors in the Extended Opportunities Programs and Services (EOPS) program. </w:t>
      </w:r>
    </w:p>
    <w:p w14:paraId="114C6947" w14:textId="77777777" w:rsidR="00605AA1" w:rsidRDefault="00AE37ED">
      <w:pPr>
        <w:spacing w:after="0" w:line="259" w:lineRule="auto"/>
        <w:ind w:left="1440" w:right="0" w:firstLine="0"/>
      </w:pPr>
      <w:r>
        <w:t xml:space="preserve"> </w:t>
      </w:r>
    </w:p>
    <w:p w14:paraId="3B6F881C" w14:textId="77777777" w:rsidR="00605AA1" w:rsidRDefault="00AE37ED">
      <w:pPr>
        <w:numPr>
          <w:ilvl w:val="0"/>
          <w:numId w:val="1"/>
        </w:numPr>
        <w:spacing w:after="2" w:line="259" w:lineRule="auto"/>
        <w:ind w:right="3090" w:hanging="360"/>
      </w:pPr>
      <w:r>
        <w:rPr>
          <w:u w:val="single" w:color="000000"/>
        </w:rPr>
        <w:t>Santa Ana College Comprehensive Educational Plan Activities Form</w:t>
      </w:r>
      <w:r>
        <w:t xml:space="preserve"> </w:t>
      </w:r>
    </w:p>
    <w:p w14:paraId="40C5604E" w14:textId="77777777" w:rsidR="00605AA1" w:rsidRDefault="00AE37ED">
      <w:pPr>
        <w:numPr>
          <w:ilvl w:val="1"/>
          <w:numId w:val="1"/>
        </w:numPr>
        <w:spacing w:after="201"/>
        <w:ind w:right="6" w:hanging="360"/>
      </w:pPr>
      <w:r>
        <w:t xml:space="preserve">The committee and </w:t>
      </w:r>
      <w:r>
        <w:t>subcommittees finaliz</w:t>
      </w:r>
      <w:r>
        <w:t>ed the document and submitted to Dr. Martinez on October 31</w:t>
      </w:r>
      <w:r>
        <w:rPr>
          <w:sz w:val="20"/>
          <w:vertAlign w:val="superscript"/>
        </w:rPr>
        <w:t>st</w:t>
      </w:r>
      <w:r>
        <w:t xml:space="preserve">. </w:t>
      </w:r>
      <w:r>
        <w:rPr>
          <w:rFonts w:ascii="Calibri" w:eastAsia="Calibri" w:hAnsi="Calibri" w:cs="Calibri"/>
        </w:rPr>
        <w:t xml:space="preserve"> </w:t>
      </w:r>
    </w:p>
    <w:p w14:paraId="6F0C6AC6" w14:textId="77777777" w:rsidR="00605AA1" w:rsidRDefault="00AE37ED">
      <w:pPr>
        <w:spacing w:after="161" w:line="259" w:lineRule="auto"/>
        <w:ind w:left="-5" w:right="3090"/>
      </w:pPr>
      <w:r>
        <w:rPr>
          <w:u w:val="single" w:color="000000"/>
        </w:rPr>
        <w:t>Next meeting Information &amp; Contact Information</w:t>
      </w:r>
      <w:r>
        <w:t xml:space="preserve"> </w:t>
      </w:r>
    </w:p>
    <w:p w14:paraId="4A6910FC" w14:textId="77777777" w:rsidR="00605AA1" w:rsidRDefault="00AE37ED">
      <w:pPr>
        <w:numPr>
          <w:ilvl w:val="3"/>
          <w:numId w:val="2"/>
        </w:numPr>
        <w:ind w:right="6" w:hanging="360"/>
      </w:pPr>
      <w:r>
        <w:t xml:space="preserve">Wednesday, December 2, 2024, from 9 am-11 am </w:t>
      </w:r>
    </w:p>
    <w:p w14:paraId="3BBD7255" w14:textId="77777777" w:rsidR="00605AA1" w:rsidRDefault="00AE37ED">
      <w:pPr>
        <w:numPr>
          <w:ilvl w:val="3"/>
          <w:numId w:val="2"/>
        </w:numPr>
        <w:ind w:right="6" w:hanging="360"/>
      </w:pPr>
      <w:r>
        <w:t xml:space="preserve">Committee materials and virtual meeting link is on the GP webpage </w:t>
      </w:r>
    </w:p>
    <w:p w14:paraId="6DD7F819" w14:textId="77777777" w:rsidR="00605AA1" w:rsidRDefault="00AE37ED">
      <w:pPr>
        <w:spacing w:after="0" w:line="259" w:lineRule="auto"/>
        <w:ind w:left="1440" w:right="0" w:firstLine="0"/>
      </w:pPr>
      <w:r>
        <w:t>(</w:t>
      </w:r>
      <w:r>
        <w:t>https://www.sac.edu/FacultyStaff/GuidedPathways/Pages/Guided</w:t>
      </w:r>
      <w:r>
        <w:t>-Pathways-Meeting-</w:t>
      </w:r>
    </w:p>
    <w:p w14:paraId="1155D364" w14:textId="1579AD7C" w:rsidR="00605AA1" w:rsidRDefault="00AE37ED">
      <w:pPr>
        <w:ind w:left="1450" w:right="6"/>
      </w:pPr>
      <w:r>
        <w:t xml:space="preserve">Calendar-2024-2025.aspx </w:t>
      </w:r>
      <w:r w:rsidR="00C526D3">
        <w:t>)</w:t>
      </w:r>
    </w:p>
    <w:p w14:paraId="249B63FE" w14:textId="0F82FB46" w:rsidR="00605AA1" w:rsidRDefault="00AE37ED">
      <w:pPr>
        <w:numPr>
          <w:ilvl w:val="3"/>
          <w:numId w:val="2"/>
        </w:numPr>
        <w:spacing w:after="163"/>
        <w:ind w:right="6" w:hanging="360"/>
      </w:pPr>
      <w:r>
        <w:t>Get connected with GP by completing the Connections Form (</w:t>
      </w:r>
      <w:r>
        <w:t>https://forms.office.com/r/fmw6kbcqtF</w:t>
      </w:r>
      <w:r w:rsidR="00F76EA9">
        <w:t>)</w:t>
      </w:r>
    </w:p>
    <w:p w14:paraId="7857D7BE" w14:textId="77777777" w:rsidR="00605AA1" w:rsidRDefault="00AE37ED">
      <w:pPr>
        <w:spacing w:after="160" w:line="259" w:lineRule="auto"/>
        <w:ind w:left="0" w:right="0" w:firstLine="0"/>
      </w:pPr>
      <w:r>
        <w:t xml:space="preserve"> </w:t>
      </w:r>
    </w:p>
    <w:p w14:paraId="5CFC975F" w14:textId="77777777" w:rsidR="00605AA1" w:rsidRDefault="00AE37ED">
      <w:pPr>
        <w:spacing w:after="160" w:line="259" w:lineRule="auto"/>
        <w:ind w:left="0" w:right="0" w:firstLine="0"/>
      </w:pPr>
      <w:r>
        <w:t xml:space="preserve"> </w:t>
      </w:r>
    </w:p>
    <w:p w14:paraId="61480162" w14:textId="77777777" w:rsidR="00605AA1" w:rsidRDefault="00AE37ED">
      <w:pPr>
        <w:spacing w:after="160" w:line="259" w:lineRule="auto"/>
        <w:ind w:left="0" w:right="0" w:firstLine="0"/>
      </w:pPr>
      <w:r>
        <w:t xml:space="preserve"> </w:t>
      </w:r>
    </w:p>
    <w:p w14:paraId="2269FFB2" w14:textId="77777777" w:rsidR="00605AA1" w:rsidRDefault="00AE37ED">
      <w:pPr>
        <w:spacing w:after="156" w:line="259" w:lineRule="auto"/>
        <w:ind w:left="0" w:right="0" w:firstLine="0"/>
      </w:pPr>
      <w:r>
        <w:rPr>
          <w:rFonts w:ascii="Times New Roman" w:eastAsia="Times New Roman" w:hAnsi="Times New Roman" w:cs="Times New Roman"/>
        </w:rPr>
        <w:t xml:space="preserve"> </w:t>
      </w:r>
    </w:p>
    <w:p w14:paraId="57830324" w14:textId="77777777" w:rsidR="00605AA1" w:rsidRDefault="00AE37ED">
      <w:pPr>
        <w:spacing w:after="156" w:line="259" w:lineRule="auto"/>
        <w:ind w:left="0" w:right="0" w:firstLine="0"/>
      </w:pPr>
      <w:r>
        <w:rPr>
          <w:rFonts w:ascii="Times New Roman" w:eastAsia="Times New Roman" w:hAnsi="Times New Roman" w:cs="Times New Roman"/>
        </w:rPr>
        <w:t xml:space="preserve"> </w:t>
      </w:r>
    </w:p>
    <w:p w14:paraId="581C4DC0" w14:textId="77777777" w:rsidR="00605AA1" w:rsidRDefault="00AE37ED">
      <w:pPr>
        <w:spacing w:after="160" w:line="259" w:lineRule="auto"/>
        <w:ind w:left="0" w:right="0" w:firstLine="0"/>
      </w:pPr>
      <w:r>
        <w:t xml:space="preserve"> </w:t>
      </w:r>
    </w:p>
    <w:p w14:paraId="50DF9824" w14:textId="77777777" w:rsidR="00605AA1" w:rsidRDefault="00AE37ED">
      <w:pPr>
        <w:spacing w:after="0" w:line="259" w:lineRule="auto"/>
        <w:ind w:left="0" w:right="0" w:firstLine="0"/>
      </w:pPr>
      <w:r>
        <w:t xml:space="preserve"> </w:t>
      </w:r>
    </w:p>
    <w:sectPr w:rsidR="00605AA1">
      <w:pgSz w:w="12240" w:h="15840"/>
      <w:pgMar w:top="720" w:right="1441" w:bottom="159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Narrow">
    <w:panose1 w:val="020B0004020202020204"/>
    <w:charset w:val="00"/>
    <w:family w:val="swiss"/>
    <w:pitch w:val="variable"/>
    <w:sig w:usb0="20000287" w:usb1="00000003" w:usb2="00000000" w:usb3="00000000" w:csb0="0000019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E44801"/>
    <w:multiLevelType w:val="hybridMultilevel"/>
    <w:tmpl w:val="FFFFFFFF"/>
    <w:lvl w:ilvl="0" w:tplc="0E5C3F2C">
      <w:start w:val="1"/>
      <w:numFmt w:val="decimal"/>
      <w:lvlText w:val="%1"/>
      <w:lvlJc w:val="left"/>
      <w:pPr>
        <w:ind w:left="36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1" w:tplc="0E6A79F8">
      <w:start w:val="1"/>
      <w:numFmt w:val="lowerLetter"/>
      <w:lvlText w:val="%2"/>
      <w:lvlJc w:val="left"/>
      <w:pPr>
        <w:ind w:left="72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2" w:tplc="7F94E394">
      <w:start w:val="1"/>
      <w:numFmt w:val="lowerRoman"/>
      <w:lvlText w:val="%3"/>
      <w:lvlJc w:val="left"/>
      <w:pPr>
        <w:ind w:left="108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3" w:tplc="31608EAA">
      <w:start w:val="1"/>
      <w:numFmt w:val="lowerLetter"/>
      <w:lvlRestart w:val="0"/>
      <w:lvlText w:val="%4."/>
      <w:lvlJc w:val="left"/>
      <w:pPr>
        <w:ind w:left="144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4" w:tplc="75EAF228">
      <w:start w:val="1"/>
      <w:numFmt w:val="lowerLetter"/>
      <w:lvlText w:val="%5"/>
      <w:lvlJc w:val="left"/>
      <w:pPr>
        <w:ind w:left="216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5" w:tplc="A0A4407A">
      <w:start w:val="1"/>
      <w:numFmt w:val="lowerRoman"/>
      <w:lvlText w:val="%6"/>
      <w:lvlJc w:val="left"/>
      <w:pPr>
        <w:ind w:left="288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6" w:tplc="F7BEB804">
      <w:start w:val="1"/>
      <w:numFmt w:val="decimal"/>
      <w:lvlText w:val="%7"/>
      <w:lvlJc w:val="left"/>
      <w:pPr>
        <w:ind w:left="360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7" w:tplc="0FBCEFF4">
      <w:start w:val="1"/>
      <w:numFmt w:val="lowerLetter"/>
      <w:lvlText w:val="%8"/>
      <w:lvlJc w:val="left"/>
      <w:pPr>
        <w:ind w:left="432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8" w:tplc="15DCF844">
      <w:start w:val="1"/>
      <w:numFmt w:val="lowerRoman"/>
      <w:lvlText w:val="%9"/>
      <w:lvlJc w:val="left"/>
      <w:pPr>
        <w:ind w:left="504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F8857E1"/>
    <w:multiLevelType w:val="hybridMultilevel"/>
    <w:tmpl w:val="FFFFFFFF"/>
    <w:lvl w:ilvl="0" w:tplc="4D4CEF28">
      <w:start w:val="1"/>
      <w:numFmt w:val="decimal"/>
      <w:lvlText w:val="%1)"/>
      <w:lvlJc w:val="left"/>
      <w:pPr>
        <w:ind w:left="36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1" w:tplc="6CEC26A8">
      <w:start w:val="1"/>
      <w:numFmt w:val="lowerLetter"/>
      <w:lvlText w:val="%2)"/>
      <w:lvlJc w:val="left"/>
      <w:pPr>
        <w:ind w:left="705"/>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2" w:tplc="44BC37D6">
      <w:start w:val="1"/>
      <w:numFmt w:val="lowerRoman"/>
      <w:lvlText w:val="%3)"/>
      <w:lvlJc w:val="left"/>
      <w:pPr>
        <w:ind w:left="108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3" w:tplc="9FECB76A">
      <w:start w:val="1"/>
      <w:numFmt w:val="decimal"/>
      <w:lvlText w:val="(%4)"/>
      <w:lvlJc w:val="left"/>
      <w:pPr>
        <w:ind w:left="126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4" w:tplc="0B0E94E6">
      <w:start w:val="1"/>
      <w:numFmt w:val="lowerLetter"/>
      <w:lvlText w:val="%5"/>
      <w:lvlJc w:val="left"/>
      <w:pPr>
        <w:ind w:left="216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5" w:tplc="A3E297DC">
      <w:start w:val="1"/>
      <w:numFmt w:val="lowerRoman"/>
      <w:lvlText w:val="%6"/>
      <w:lvlJc w:val="left"/>
      <w:pPr>
        <w:ind w:left="288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6" w:tplc="82F67F9E">
      <w:start w:val="1"/>
      <w:numFmt w:val="decimal"/>
      <w:lvlText w:val="%7"/>
      <w:lvlJc w:val="left"/>
      <w:pPr>
        <w:ind w:left="360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7" w:tplc="551ECA30">
      <w:start w:val="1"/>
      <w:numFmt w:val="lowerLetter"/>
      <w:lvlText w:val="%8"/>
      <w:lvlJc w:val="left"/>
      <w:pPr>
        <w:ind w:left="432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lvl w:ilvl="8" w:tplc="32DEBF30">
      <w:start w:val="1"/>
      <w:numFmt w:val="lowerRoman"/>
      <w:lvlText w:val="%9"/>
      <w:lvlJc w:val="left"/>
      <w:pPr>
        <w:ind w:left="5040"/>
      </w:pPr>
      <w:rPr>
        <w:rFonts w:ascii="Aptos Narrow" w:eastAsia="Aptos Narrow" w:hAnsi="Aptos Narrow" w:cs="Aptos Narrow"/>
        <w:b w:val="0"/>
        <w:i w:val="0"/>
        <w:strike w:val="0"/>
        <w:dstrike w:val="0"/>
        <w:color w:val="000000"/>
        <w:sz w:val="22"/>
        <w:szCs w:val="22"/>
        <w:u w:val="none" w:color="000000"/>
        <w:bdr w:val="none" w:sz="0" w:space="0" w:color="auto"/>
        <w:shd w:val="clear" w:color="auto" w:fill="auto"/>
        <w:vertAlign w:val="baseline"/>
      </w:rPr>
    </w:lvl>
  </w:abstractNum>
  <w:num w:numId="1" w16cid:durableId="1123882333">
    <w:abstractNumId w:val="1"/>
  </w:num>
  <w:num w:numId="2" w16cid:durableId="56329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AA1"/>
    <w:rsid w:val="00605AA1"/>
    <w:rsid w:val="00923A00"/>
    <w:rsid w:val="00AD72A0"/>
    <w:rsid w:val="00AE37ED"/>
    <w:rsid w:val="00C526D3"/>
    <w:rsid w:val="00C65866"/>
    <w:rsid w:val="00F76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803D41"/>
  <w15:docId w15:val="{FB8DB93B-3D47-C543-8942-4C79F11B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1" w:lineRule="auto"/>
      <w:ind w:left="370" w:right="332" w:hanging="10"/>
    </w:pPr>
    <w:rPr>
      <w:rFonts w:ascii="Aptos Narrow" w:eastAsia="Aptos Narrow" w:hAnsi="Aptos Narrow" w:cs="Aptos Narrow"/>
      <w:color w:val="00000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jp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HNYXMCCMVK3K-464-1060</_dlc_DocId>
    <_dlc_DocIdUrl xmlns="431189f8-a51b-453f-9f0c-3a0b3b65b12f">
      <Url>https://www.sac.edu/President/AcademicSenate/_layouts/15/DocIdRedir.aspx?ID=HNYXMCCMVK3K-464-1060</Url>
      <Description>HNYXMCCMVK3K-464-1060</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39B6BCC-9B18-4E4E-800C-11DC8961E01E}"/>
</file>

<file path=customXml/itemProps2.xml><?xml version="1.0" encoding="utf-8"?>
<ds:datastoreItem xmlns:ds="http://schemas.openxmlformats.org/officeDocument/2006/customXml" ds:itemID="{43EBD282-BBDF-4EB1-873D-599697DADC5A}"/>
</file>

<file path=customXml/itemProps3.xml><?xml version="1.0" encoding="utf-8"?>
<ds:datastoreItem xmlns:ds="http://schemas.openxmlformats.org/officeDocument/2006/customXml" ds:itemID="{F3C45C9A-C507-4FC1-84EE-8B87F62DA0D3}"/>
</file>

<file path=customXml/itemProps4.xml><?xml version="1.0" encoding="utf-8"?>
<ds:datastoreItem xmlns:ds="http://schemas.openxmlformats.org/officeDocument/2006/customXml" ds:itemID="{C0C42104-2CEE-4361-9BD1-4C35D73F0129}"/>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Burrus, Tanisha</dc:creator>
  <cp:keywords/>
  <dc:description/>
  <cp:lastModifiedBy>Burrus, Tanisha</cp:lastModifiedBy>
  <cp:revision>2</cp:revision>
  <dcterms:created xsi:type="dcterms:W3CDTF">2024-11-12T21:45:00Z</dcterms:created>
  <dcterms:modified xsi:type="dcterms:W3CDTF">2024-11-12T21:45:00Z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_dlc_DocIdItemGuid">
    <vt:lpwstr>69e20391-2783-4cfd-8f22-614fa537a17e</vt:lpwstr>
  </property>
</Properties>
</file>