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009E" w14:textId="156E9A03" w:rsidR="00833B6B" w:rsidRDefault="00833B6B">
      <w:pPr>
        <w:rPr>
          <w:rFonts w:ascii="Calibri" w:hAnsi="Calibri" w:cs="Calibri"/>
          <w:color w:val="000000"/>
          <w:shd w:val="clear" w:color="auto" w:fill="FFFFFF"/>
        </w:rPr>
      </w:pPr>
      <w:r>
        <w:rPr>
          <w:rFonts w:ascii="Calibri" w:hAnsi="Calibri" w:cs="Calibri"/>
          <w:color w:val="000000"/>
          <w:shd w:val="clear" w:color="auto" w:fill="FFFFFF"/>
        </w:rPr>
        <w:t>Statement by Rebecca Ortiz</w:t>
      </w:r>
    </w:p>
    <w:p w14:paraId="25CD7AC5" w14:textId="1A60F7B1" w:rsidR="00C81C34" w:rsidRDefault="00833B6B">
      <w:r>
        <w:rPr>
          <w:rFonts w:ascii="Calibri" w:hAnsi="Calibri" w:cs="Calibri"/>
          <w:color w:val="000000"/>
          <w:shd w:val="clear" w:color="auto" w:fill="FFFFFF"/>
        </w:rPr>
        <w:t>The psychology department at Santa Ana College has been an active partner in dual-enrollment efforts. The Santa Ana College psychology department, including tenured faculty, have taught multiple courses and sections at various Santa Ana Unified School District (SAUSD) high schools including Middle College, Santa Ana High School, Century High School, Godinez High School, Segerstrom High School, among other local charter schools and other school districts. As a department, we are highly concerned about the practices of the Santa Ana College academic administrators in terms of a lack of transparency and standard policies with dual-enrollment and concurrent enrollment. This is especially important as the psychology department houses the transfer level quantitative reasoning course, Psychology 210 (4 units) Introduction to Statistics for the Behavioral Sciences and the life science course, Psychology 201 (4 units) Introduction to Biological Psychology with an embedded lab. As a department, our mission is to align our program with best practices for dual and concurrently enrolled students. We ask that the Academic Senate of Santa Ana College address this current lack of transparency and inclusion of best practices and policies with both the Academic Administration of Santa Ana College and the Santa Ana College Board of Trustees.</w:t>
      </w:r>
    </w:p>
    <w:sectPr w:rsidR="00C81C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B6B"/>
    <w:rsid w:val="00833B6B"/>
    <w:rsid w:val="00C81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81C16"/>
  <w15:chartTrackingRefBased/>
  <w15:docId w15:val="{55C842C9-4FDC-4F1C-875C-0A8D24DAA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HNYXMCCMVK3K-464-792</_dlc_DocId>
    <_dlc_DocIdUrl xmlns="431189f8-a51b-453f-9f0c-3a0b3b65b12f">
      <Url>https://www.sac.edu/President/AcademicSenate/_layouts/15/DocIdRedir.aspx?ID=HNYXMCCMVK3K-464-792</Url>
      <Description>HNYXMCCMVK3K-464-792</Description>
    </_dlc_DocIdUrl>
  </documentManagement>
</p:properties>
</file>

<file path=customXml/itemProps1.xml><?xml version="1.0" encoding="utf-8"?>
<ds:datastoreItem xmlns:ds="http://schemas.openxmlformats.org/officeDocument/2006/customXml" ds:itemID="{DF782899-5FF2-430E-AE01-A322B170A4A3}"/>
</file>

<file path=customXml/itemProps2.xml><?xml version="1.0" encoding="utf-8"?>
<ds:datastoreItem xmlns:ds="http://schemas.openxmlformats.org/officeDocument/2006/customXml" ds:itemID="{1137AB6A-DF0C-470E-B5BD-AE5A197E4E5E}"/>
</file>

<file path=customXml/itemProps3.xml><?xml version="1.0" encoding="utf-8"?>
<ds:datastoreItem xmlns:ds="http://schemas.openxmlformats.org/officeDocument/2006/customXml" ds:itemID="{33E876C0-F58A-4F35-B8E2-8BEE4F00B787}"/>
</file>

<file path=customXml/itemProps4.xml><?xml version="1.0" encoding="utf-8"?>
<ds:datastoreItem xmlns:ds="http://schemas.openxmlformats.org/officeDocument/2006/customXml" ds:itemID="{296ECCEC-F9ED-448A-9820-B695C4055FF5}"/>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Barrios, Andrew</dc:creator>
  <cp:keywords/>
  <dc:description/>
  <cp:lastModifiedBy>Barrios, Andrew</cp:lastModifiedBy>
  <cp:revision>1</cp:revision>
  <dcterms:created xsi:type="dcterms:W3CDTF">2023-09-14T19:19:00Z</dcterms:created>
  <dcterms:modified xsi:type="dcterms:W3CDTF">2023-09-14T19:19:00Z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c7a0b8b8-74b2-4a24-a8a7-4367db29fa1e</vt:lpwstr>
  </property>
  <property fmtid="{D5CDD505-2E9C-101B-9397-08002B2CF9AE}" pid="3" name="ContentTypeId">
    <vt:lpwstr>0x010100D708A9741AC48E46AEE4941DE1E12C0F</vt:lpwstr>
  </property>
  <property fmtid="{D5CDD505-2E9C-101B-9397-08002B2CF9AE}" pid="4" name="_dlc_DocIdItemGuid">
    <vt:lpwstr>63f9fd14-fe26-4bdd-aa84-d8da1e1c7daf</vt:lpwstr>
  </property>
</Properties>
</file>