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9FF2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5026609" wp14:editId="6437539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A922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1530"/>
        <w:gridCol w:w="3600"/>
        <w:gridCol w:w="3600"/>
      </w:tblGrid>
      <w:tr w:rsidR="00A66B18" w:rsidRPr="0041428F" w14:paraId="2B606652" w14:textId="77777777" w:rsidTr="00A6783B">
        <w:trPr>
          <w:trHeight w:val="270"/>
          <w:jc w:val="center"/>
        </w:trPr>
        <w:tc>
          <w:tcPr>
            <w:tcW w:w="10800" w:type="dxa"/>
            <w:gridSpan w:val="4"/>
          </w:tcPr>
          <w:p w14:paraId="10BFDBD0" w14:textId="098D77CB" w:rsidR="00A66B18" w:rsidRPr="0041428F" w:rsidRDefault="00E317D5" w:rsidP="007E7F36">
            <w:pPr>
              <w:pStyle w:val="Title"/>
            </w:pPr>
            <w:r>
              <w:t>Acdemic Senate VP of Culture and Engagement Report</w:t>
            </w:r>
            <w:r w:rsidR="007E7F36">
              <w:t xml:space="preserve"> </w:t>
            </w:r>
          </w:p>
        </w:tc>
      </w:tr>
      <w:tr w:rsidR="007E7F36" w:rsidRPr="0041428F" w14:paraId="02E9B9FE" w14:textId="77777777" w:rsidTr="007E7F36">
        <w:trPr>
          <w:trHeight w:val="630"/>
          <w:jc w:val="center"/>
        </w:trPr>
        <w:tc>
          <w:tcPr>
            <w:tcW w:w="10800" w:type="dxa"/>
            <w:gridSpan w:val="4"/>
            <w:vAlign w:val="bottom"/>
          </w:tcPr>
          <w:p w14:paraId="2C4234A0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62F10F9C" w14:textId="77777777" w:rsidTr="007E7F36">
        <w:trPr>
          <w:gridAfter w:val="2"/>
          <w:wAfter w:w="7200" w:type="dxa"/>
          <w:trHeight w:val="492"/>
          <w:jc w:val="center"/>
        </w:trPr>
        <w:tc>
          <w:tcPr>
            <w:tcW w:w="3600" w:type="dxa"/>
            <w:gridSpan w:val="2"/>
            <w:vAlign w:val="bottom"/>
          </w:tcPr>
          <w:p w14:paraId="0A1857E8" w14:textId="77777777" w:rsidR="008A1998" w:rsidRDefault="008A1998" w:rsidP="00A66B18">
            <w:pPr>
              <w:pStyle w:val="ContactInfo"/>
            </w:pPr>
          </w:p>
        </w:tc>
      </w:tr>
      <w:tr w:rsidR="007E7F36" w:rsidRPr="0041428F" w14:paraId="388D5795" w14:textId="77777777" w:rsidTr="007E7F36">
        <w:trPr>
          <w:trHeight w:val="492"/>
          <w:jc w:val="center"/>
        </w:trPr>
        <w:tc>
          <w:tcPr>
            <w:tcW w:w="2070" w:type="dxa"/>
          </w:tcPr>
          <w:p w14:paraId="54F0B394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  <w:gridSpan w:val="2"/>
          </w:tcPr>
          <w:p w14:paraId="312621CA" w14:textId="6AE0D3CB" w:rsidR="007E7F36" w:rsidRDefault="00160DBF" w:rsidP="007E7F36">
            <w:pPr>
              <w:pStyle w:val="ContactInfo"/>
            </w:pPr>
            <w:r>
              <w:t>3</w:t>
            </w:r>
            <w:r w:rsidR="008A1998">
              <w:t>/</w:t>
            </w:r>
            <w:r w:rsidR="00E306D1">
              <w:t>26</w:t>
            </w:r>
            <w:r w:rsidR="008A1998">
              <w:t>/24</w:t>
            </w:r>
          </w:p>
        </w:tc>
        <w:tc>
          <w:tcPr>
            <w:tcW w:w="3600" w:type="dxa"/>
            <w:vAlign w:val="bottom"/>
          </w:tcPr>
          <w:p w14:paraId="1EEB00E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13AF8CED" w14:textId="77777777" w:rsidTr="007E7F36">
        <w:trPr>
          <w:trHeight w:val="492"/>
          <w:jc w:val="center"/>
        </w:trPr>
        <w:tc>
          <w:tcPr>
            <w:tcW w:w="2070" w:type="dxa"/>
          </w:tcPr>
          <w:p w14:paraId="2165D08A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  <w:gridSpan w:val="2"/>
          </w:tcPr>
          <w:p w14:paraId="59FDF6B4" w14:textId="1E82EC86" w:rsidR="007E7F36" w:rsidRDefault="008A1998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1</w:t>
            </w:r>
            <w:r w:rsidR="00E317D5">
              <w:rPr>
                <w:rStyle w:val="Strong"/>
                <w:b w:val="0"/>
                <w:bCs w:val="0"/>
              </w:rPr>
              <w:t>:30</w:t>
            </w:r>
            <w:r>
              <w:rPr>
                <w:rStyle w:val="Strong"/>
                <w:b w:val="0"/>
                <w:bCs w:val="0"/>
              </w:rPr>
              <w:t>-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:</w:t>
            </w:r>
            <w:r w:rsidR="00E317D5">
              <w:rPr>
                <w:rStyle w:val="Strong"/>
                <w:b w:val="0"/>
                <w:bCs w:val="0"/>
              </w:rPr>
              <w:t>3</w:t>
            </w:r>
            <w:r w:rsidR="00160DBF"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3600" w:type="dxa"/>
            <w:vAlign w:val="bottom"/>
          </w:tcPr>
          <w:p w14:paraId="7EEE368C" w14:textId="77777777" w:rsidR="007E7F36" w:rsidRDefault="007E7F36" w:rsidP="00A66B18">
            <w:pPr>
              <w:pStyle w:val="ContactInfo"/>
            </w:pPr>
          </w:p>
        </w:tc>
      </w:tr>
      <w:tr w:rsidR="008A1998" w:rsidRPr="0041428F" w14:paraId="54C9BB2F" w14:textId="77777777" w:rsidTr="007E7F36">
        <w:trPr>
          <w:trHeight w:val="492"/>
          <w:jc w:val="center"/>
        </w:trPr>
        <w:tc>
          <w:tcPr>
            <w:tcW w:w="2070" w:type="dxa"/>
          </w:tcPr>
          <w:p w14:paraId="50BE2182" w14:textId="7F49A5E9" w:rsidR="008A1998" w:rsidRDefault="008A1998" w:rsidP="007E7F36">
            <w:pPr>
              <w:pStyle w:val="MeetingInfo"/>
            </w:pPr>
          </w:p>
        </w:tc>
        <w:tc>
          <w:tcPr>
            <w:tcW w:w="5130" w:type="dxa"/>
            <w:gridSpan w:val="2"/>
          </w:tcPr>
          <w:p w14:paraId="29186805" w14:textId="33C3F2E2" w:rsidR="008A1998" w:rsidRDefault="008A1998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285B61F5" w14:textId="77777777" w:rsidR="008A1998" w:rsidRDefault="008A1998" w:rsidP="00A66B18">
            <w:pPr>
              <w:pStyle w:val="ContactInfo"/>
            </w:pPr>
          </w:p>
        </w:tc>
      </w:tr>
    </w:tbl>
    <w:p w14:paraId="5A1EE957" w14:textId="77777777" w:rsidR="00A66B18" w:rsidRDefault="00A66B18" w:rsidP="00FC7B07">
      <w:pPr>
        <w:ind w:left="0"/>
      </w:pPr>
    </w:p>
    <w:p w14:paraId="6EEAA4B1" w14:textId="7A19C421" w:rsidR="007E7F36" w:rsidRDefault="00E317D5" w:rsidP="00FC7B07">
      <w:pPr>
        <w:pStyle w:val="Heading1"/>
        <w:spacing w:before="100" w:beforeAutospacing="1"/>
        <w:ind w:left="0"/>
      </w:pPr>
      <w:r>
        <w:t>Topics</w:t>
      </w:r>
    </w:p>
    <w:tbl>
      <w:tblPr>
        <w:tblW w:w="6458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2700"/>
        <w:gridCol w:w="7379"/>
        <w:gridCol w:w="2340"/>
      </w:tblGrid>
      <w:tr w:rsidR="00FC7B07" w:rsidRPr="00F20A30" w14:paraId="1A169638" w14:textId="77777777" w:rsidTr="00FC7B07">
        <w:trPr>
          <w:trHeight w:val="1440"/>
          <w:jc w:val="center"/>
        </w:trPr>
        <w:tc>
          <w:tcPr>
            <w:tcW w:w="1530" w:type="dxa"/>
          </w:tcPr>
          <w:p w14:paraId="3ABCFE55" w14:textId="77777777" w:rsidR="007E7F36" w:rsidRPr="00F20A30" w:rsidRDefault="007E7F36" w:rsidP="007E7F36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7F75C93C" w14:textId="66A190C7" w:rsidR="007E7F36" w:rsidRPr="00F20A30" w:rsidRDefault="00E317D5" w:rsidP="00FC7B07">
            <w:pPr>
              <w:pStyle w:val="MeetingTimes"/>
              <w:ind w:left="1" w:hanging="1"/>
              <w:rPr>
                <w:szCs w:val="24"/>
              </w:rPr>
            </w:pPr>
            <w:r w:rsidRPr="00F20A30">
              <w:rPr>
                <w:szCs w:val="24"/>
              </w:rPr>
              <w:t>Department Chair Guide/ Chair Institute Trainings</w:t>
            </w:r>
          </w:p>
        </w:tc>
        <w:tc>
          <w:tcPr>
            <w:tcW w:w="7380" w:type="dxa"/>
          </w:tcPr>
          <w:p w14:paraId="3551802E" w14:textId="77777777" w:rsidR="00160DBF" w:rsidRPr="00F20A30" w:rsidRDefault="00160DBF" w:rsidP="007C526D">
            <w:pPr>
              <w:pStyle w:val="ItemDescription"/>
              <w:rPr>
                <w:szCs w:val="24"/>
              </w:rPr>
            </w:pPr>
          </w:p>
          <w:p w14:paraId="290F5C6C" w14:textId="61841189" w:rsidR="00E317D5" w:rsidRPr="007C526D" w:rsidRDefault="00E317D5" w:rsidP="007C526D">
            <w:pPr>
              <w:pStyle w:val="ItemDescription"/>
              <w:rPr>
                <w:sz w:val="22"/>
                <w:szCs w:val="22"/>
              </w:rPr>
            </w:pPr>
            <w:r w:rsidRPr="007C526D">
              <w:rPr>
                <w:sz w:val="22"/>
                <w:szCs w:val="22"/>
              </w:rPr>
              <w:t xml:space="preserve">Chairs be on </w:t>
            </w:r>
            <w:r w:rsidR="00AC340E" w:rsidRPr="007C526D">
              <w:rPr>
                <w:sz w:val="22"/>
                <w:szCs w:val="22"/>
              </w:rPr>
              <w:t>the</w:t>
            </w:r>
            <w:r w:rsidRPr="007C526D">
              <w:rPr>
                <w:sz w:val="22"/>
                <w:szCs w:val="22"/>
              </w:rPr>
              <w:t xml:space="preserve"> look</w:t>
            </w:r>
            <w:r w:rsidR="00AC340E" w:rsidRPr="007C526D">
              <w:rPr>
                <w:sz w:val="22"/>
                <w:szCs w:val="22"/>
              </w:rPr>
              <w:t>out</w:t>
            </w:r>
            <w:r w:rsidRPr="007C526D">
              <w:rPr>
                <w:sz w:val="22"/>
                <w:szCs w:val="22"/>
              </w:rPr>
              <w:t xml:space="preserve"> for a survey regarding Chair duties and needed trainings.</w:t>
            </w:r>
            <w:r w:rsidR="003472F0">
              <w:rPr>
                <w:sz w:val="22"/>
                <w:szCs w:val="22"/>
              </w:rPr>
              <w:t xml:space="preserve">  </w:t>
            </w:r>
            <w:r w:rsidRPr="007C526D">
              <w:rPr>
                <w:sz w:val="22"/>
                <w:szCs w:val="22"/>
              </w:rPr>
              <w:t xml:space="preserve">Will be holding two trainings in April: </w:t>
            </w:r>
          </w:p>
          <w:p w14:paraId="4B5DB49E" w14:textId="024018EE" w:rsidR="00E317D5" w:rsidRPr="007C526D" w:rsidRDefault="00E317D5" w:rsidP="003472F0">
            <w:pPr>
              <w:pStyle w:val="ItemDescription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C526D">
              <w:rPr>
                <w:sz w:val="22"/>
                <w:szCs w:val="22"/>
              </w:rPr>
              <w:t xml:space="preserve">Program Review and How to Input in </w:t>
            </w:r>
            <w:proofErr w:type="spellStart"/>
            <w:r w:rsidRPr="007C526D">
              <w:rPr>
                <w:sz w:val="22"/>
                <w:szCs w:val="22"/>
              </w:rPr>
              <w:t>Nuventive</w:t>
            </w:r>
            <w:proofErr w:type="spellEnd"/>
            <w:r w:rsidRPr="007C526D">
              <w:rPr>
                <w:sz w:val="22"/>
                <w:szCs w:val="22"/>
              </w:rPr>
              <w:t xml:space="preserve"> - April 26</w:t>
            </w:r>
            <w:r w:rsidRPr="007C526D">
              <w:rPr>
                <w:sz w:val="22"/>
                <w:szCs w:val="22"/>
                <w:vertAlign w:val="superscript"/>
              </w:rPr>
              <w:t>th</w:t>
            </w:r>
            <w:r w:rsidRPr="007C526D">
              <w:rPr>
                <w:sz w:val="22"/>
                <w:szCs w:val="22"/>
              </w:rPr>
              <w:t xml:space="preserve"> @ 12:00pm</w:t>
            </w:r>
          </w:p>
          <w:p w14:paraId="3A314DB1" w14:textId="5BE37817" w:rsidR="00E317D5" w:rsidRPr="007C526D" w:rsidRDefault="00E317D5" w:rsidP="003472F0">
            <w:pPr>
              <w:pStyle w:val="ItemDescription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C526D">
              <w:rPr>
                <w:sz w:val="22"/>
                <w:szCs w:val="22"/>
              </w:rPr>
              <w:t>Schedule Builds &amp; Collecting Data to Inform Them – TBD</w:t>
            </w:r>
          </w:p>
          <w:p w14:paraId="64B5F223" w14:textId="7F1B2040" w:rsidR="003472F0" w:rsidRPr="00F20A30" w:rsidRDefault="003472F0" w:rsidP="007C526D">
            <w:pPr>
              <w:pStyle w:val="ItemDescription"/>
              <w:rPr>
                <w:szCs w:val="24"/>
              </w:rPr>
            </w:pPr>
            <w:r>
              <w:rPr>
                <w:sz w:val="22"/>
                <w:szCs w:val="22"/>
              </w:rPr>
              <w:t>Ideas for extending the New Faculty Institute – should non tenure meet as a cohort, perhaps quarterly.  How do we empower the non-tenure voice through courageous leadership?</w:t>
            </w:r>
          </w:p>
        </w:tc>
        <w:tc>
          <w:tcPr>
            <w:tcW w:w="2340" w:type="dxa"/>
          </w:tcPr>
          <w:p w14:paraId="331725EC" w14:textId="03BD782F" w:rsidR="007E7F36" w:rsidRPr="00F20A30" w:rsidRDefault="007E7F36" w:rsidP="00E21240">
            <w:pPr>
              <w:pStyle w:val="Location"/>
              <w:rPr>
                <w:szCs w:val="24"/>
              </w:rPr>
            </w:pPr>
          </w:p>
        </w:tc>
      </w:tr>
      <w:tr w:rsidR="00FC7B07" w:rsidRPr="00F20A30" w14:paraId="452DF104" w14:textId="77777777" w:rsidTr="00FC7B07">
        <w:trPr>
          <w:trHeight w:val="1440"/>
          <w:jc w:val="center"/>
        </w:trPr>
        <w:tc>
          <w:tcPr>
            <w:tcW w:w="1530" w:type="dxa"/>
          </w:tcPr>
          <w:p w14:paraId="6F8DA0C2" w14:textId="77777777" w:rsidR="00E21240" w:rsidRPr="00F20A30" w:rsidRDefault="00E21240" w:rsidP="00E21240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275D1815" w14:textId="6A3FD612" w:rsidR="00E21240" w:rsidRPr="00F20A30" w:rsidRDefault="00E317D5" w:rsidP="00E21240">
            <w:pPr>
              <w:pStyle w:val="MeetingTimes"/>
              <w:rPr>
                <w:szCs w:val="24"/>
              </w:rPr>
            </w:pPr>
            <w:r w:rsidRPr="00F20A30">
              <w:rPr>
                <w:szCs w:val="24"/>
              </w:rPr>
              <w:t>Dual Enrollment Workgroup</w:t>
            </w:r>
            <w:r w:rsidR="008A1998" w:rsidRPr="00F20A30">
              <w:rPr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7F73FD36" w14:textId="77777777" w:rsidR="00160DBF" w:rsidRPr="00F20A30" w:rsidRDefault="00160DBF" w:rsidP="00E21240">
            <w:pPr>
              <w:pStyle w:val="ItemDescription"/>
              <w:rPr>
                <w:szCs w:val="24"/>
              </w:rPr>
            </w:pPr>
          </w:p>
          <w:p w14:paraId="2D7FC046" w14:textId="45CB0BF4" w:rsidR="00E306D1" w:rsidRDefault="007C526D" w:rsidP="007C526D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2"/>
                <w:szCs w:val="22"/>
              </w:rPr>
            </w:pPr>
            <w:r>
              <w:rPr>
                <w:rFonts w:ascii="Aptos" w:hAnsi="Aptos" w:cs="Segoe UI"/>
                <w:color w:val="000000"/>
                <w:sz w:val="22"/>
                <w:szCs w:val="22"/>
              </w:rPr>
              <w:t>With concerns over AB359, i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f departments are interested in recommending courses from their programs for </w:t>
            </w:r>
            <w:proofErr w:type="spellStart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DuE</w:t>
            </w:r>
            <w:proofErr w:type="spellEnd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, they can contact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Ashly Bootman, or the Dual Enrollment Office directly,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Matt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hew </w:t>
            </w:r>
            <w:proofErr w:type="spellStart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Velarius</w:t>
            </w:r>
            <w:proofErr w:type="spellEnd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or Refugio Rodriguez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. If high schools are requesting courses the department feels are not appropriate for </w:t>
            </w:r>
            <w:proofErr w:type="spellStart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DuE</w:t>
            </w:r>
            <w:proofErr w:type="spellEnd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, they can contact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Ashly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as well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to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set up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a meeting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with Matt and Refugio to discuss the issue and possibly develop a more appropriate "menu" of courses for the high schools. </w:t>
            </w:r>
          </w:p>
          <w:p w14:paraId="3296F637" w14:textId="77777777" w:rsidR="00F20A30" w:rsidRDefault="007C526D" w:rsidP="007C526D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sz w:val="22"/>
                <w:szCs w:val="22"/>
              </w:rPr>
            </w:pPr>
            <w:r>
              <w:rPr>
                <w:rFonts w:ascii="Aptos" w:hAnsi="Aptos" w:cs="Segoe UI"/>
                <w:color w:val="000000"/>
                <w:sz w:val="22"/>
                <w:szCs w:val="22"/>
              </w:rPr>
              <w:t>The Dual Enrollment Workgroup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are currently working on an internal policies and procedures document specifically for SAC. This document is meant to ensure we have processes in place for </w:t>
            </w:r>
            <w:proofErr w:type="spellStart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DuE</w:t>
            </w:r>
            <w:proofErr w:type="spellEnd"/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on our end. If faculty have any suggestions for items that might be included in this document, policies/procedures 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 xml:space="preserve">that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they want to see codified, they can contact 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>Ashly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 with 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>s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 xml:space="preserve">uggestion or 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 xml:space="preserve">send interest to 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join the subgrou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>p</w:t>
            </w:r>
            <w:r w:rsidR="00E306D1">
              <w:rPr>
                <w:rFonts w:ascii="Aptos" w:hAnsi="Aptos" w:cs="Segoe UI"/>
                <w:color w:val="000000"/>
                <w:sz w:val="22"/>
                <w:szCs w:val="22"/>
              </w:rPr>
              <w:t>.</w:t>
            </w:r>
            <w:r>
              <w:rPr>
                <w:rFonts w:ascii="Aptos" w:hAnsi="Aptos" w:cs="Segoe UI"/>
                <w:color w:val="000000"/>
                <w:sz w:val="22"/>
                <w:szCs w:val="22"/>
              </w:rPr>
              <w:t xml:space="preserve"> (Suggestion: Statement </w:t>
            </w:r>
            <w:r w:rsidRPr="007C526D">
              <w:rPr>
                <w:rFonts w:ascii="Aptos" w:hAnsi="Aptos" w:cs="Segoe UI"/>
                <w:color w:val="000000"/>
                <w:sz w:val="22"/>
                <w:szCs w:val="22"/>
              </w:rPr>
              <w:t>a</w:t>
            </w:r>
            <w:r w:rsidRPr="007C526D">
              <w:rPr>
                <w:sz w:val="22"/>
                <w:szCs w:val="22"/>
              </w:rPr>
              <w:t xml:space="preserve">ddressing behavioral issues in </w:t>
            </w:r>
            <w:r>
              <w:rPr>
                <w:sz w:val="22"/>
                <w:szCs w:val="22"/>
              </w:rPr>
              <w:t xml:space="preserve">faculty </w:t>
            </w:r>
            <w:r w:rsidRPr="007C526D">
              <w:rPr>
                <w:sz w:val="22"/>
                <w:szCs w:val="22"/>
              </w:rPr>
              <w:t>syllab</w:t>
            </w:r>
            <w:r>
              <w:rPr>
                <w:sz w:val="22"/>
                <w:szCs w:val="22"/>
              </w:rPr>
              <w:t>i.)</w:t>
            </w:r>
          </w:p>
          <w:p w14:paraId="39719CCB" w14:textId="3ACD1BCA" w:rsidR="003472F0" w:rsidRPr="00F20A30" w:rsidRDefault="003472F0" w:rsidP="007C526D">
            <w:pPr>
              <w:shd w:val="clear" w:color="auto" w:fill="FFFFFF"/>
              <w:spacing w:before="100" w:beforeAutospacing="1" w:after="100" w:afterAutospacing="1"/>
              <w:ind w:left="0" w:right="0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Encourage Chairs to send a survey on Dual Enrollment courses at the end of the term.  There are continued problems we aren’t aware of, as many part-time faculty aren’t always aware when a violation is being made.  Example, changing of days off, such as spring break, students leaving class for athletics, etc.</w:t>
            </w:r>
          </w:p>
        </w:tc>
        <w:tc>
          <w:tcPr>
            <w:tcW w:w="2340" w:type="dxa"/>
          </w:tcPr>
          <w:p w14:paraId="5698F64E" w14:textId="596223E7" w:rsidR="00E21240" w:rsidRPr="00F20A30" w:rsidRDefault="00E21240" w:rsidP="00E21240">
            <w:pPr>
              <w:pStyle w:val="Location"/>
              <w:rPr>
                <w:szCs w:val="24"/>
              </w:rPr>
            </w:pPr>
          </w:p>
        </w:tc>
      </w:tr>
      <w:tr w:rsidR="00FC7B07" w:rsidRPr="00F20A30" w14:paraId="3A1B895E" w14:textId="77777777" w:rsidTr="00FC7B07">
        <w:trPr>
          <w:trHeight w:val="1440"/>
          <w:jc w:val="center"/>
        </w:trPr>
        <w:tc>
          <w:tcPr>
            <w:tcW w:w="1530" w:type="dxa"/>
          </w:tcPr>
          <w:p w14:paraId="0E8408C3" w14:textId="77777777" w:rsidR="00E21240" w:rsidRPr="00F20A30" w:rsidRDefault="00E21240" w:rsidP="00E21240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69E8A12A" w14:textId="77777777" w:rsidR="000F7210" w:rsidRDefault="000F7210" w:rsidP="00E21240">
            <w:pPr>
              <w:pStyle w:val="MeetingTimes"/>
              <w:rPr>
                <w:szCs w:val="24"/>
              </w:rPr>
            </w:pPr>
            <w:r>
              <w:rPr>
                <w:szCs w:val="24"/>
              </w:rPr>
              <w:t>Senators</w:t>
            </w:r>
            <w:r>
              <w:rPr>
                <w:szCs w:val="24"/>
              </w:rPr>
              <w:t xml:space="preserve"> </w:t>
            </w:r>
          </w:p>
          <w:p w14:paraId="7A50E04D" w14:textId="3501818E" w:rsidR="00E21240" w:rsidRPr="00F20A30" w:rsidRDefault="00E21240" w:rsidP="00E21240">
            <w:pPr>
              <w:pStyle w:val="MeetingTimes"/>
              <w:rPr>
                <w:szCs w:val="24"/>
              </w:rPr>
            </w:pPr>
          </w:p>
        </w:tc>
        <w:tc>
          <w:tcPr>
            <w:tcW w:w="7380" w:type="dxa"/>
          </w:tcPr>
          <w:p w14:paraId="1CF29BC9" w14:textId="77777777" w:rsidR="00160DBF" w:rsidRPr="00F20A30" w:rsidRDefault="00160DBF" w:rsidP="00E21240">
            <w:pPr>
              <w:pStyle w:val="ItemDescription"/>
              <w:rPr>
                <w:szCs w:val="24"/>
              </w:rPr>
            </w:pPr>
          </w:p>
          <w:p w14:paraId="5EDEE996" w14:textId="77777777" w:rsidR="000F7210" w:rsidRDefault="000F7210" w:rsidP="000F7210">
            <w:pPr>
              <w:pStyle w:val="ItemDescrip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Exec help you disseminate information more frequently?</w:t>
            </w:r>
          </w:p>
          <w:p w14:paraId="28B4155B" w14:textId="77777777" w:rsidR="000F7210" w:rsidRDefault="000F7210" w:rsidP="000F7210">
            <w:pPr>
              <w:pStyle w:val="ItemDescription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division names/emails</w:t>
            </w:r>
          </w:p>
          <w:p w14:paraId="1FA4132F" w14:textId="77777777" w:rsidR="000F7210" w:rsidRDefault="000F7210" w:rsidP="000F7210">
            <w:pPr>
              <w:pStyle w:val="ItemDescription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to be added to the Chair meetings</w:t>
            </w:r>
          </w:p>
          <w:p w14:paraId="7480C4B8" w14:textId="6BA91FCE" w:rsidR="000F7210" w:rsidRDefault="000F7210" w:rsidP="000F7210">
            <w:pPr>
              <w:pStyle w:val="ItemDescription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Senate meeting note before minutes are approved</w:t>
            </w:r>
            <w:r>
              <w:rPr>
                <w:sz w:val="22"/>
                <w:szCs w:val="22"/>
              </w:rPr>
              <w:t xml:space="preserve"> (looking at ways to assist with this)</w:t>
            </w:r>
          </w:p>
          <w:p w14:paraId="0BB9E469" w14:textId="072C329A" w:rsidR="00E21240" w:rsidRPr="00FC7B07" w:rsidRDefault="000F7210" w:rsidP="000F7210">
            <w:pPr>
              <w:pStyle w:val="ItemDescription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Be aware of schedules and need to attend Senate meetings when having </w:t>
            </w:r>
            <w:r>
              <w:rPr>
                <w:sz w:val="22"/>
                <w:szCs w:val="22"/>
              </w:rPr>
              <w:t xml:space="preserve">upcoming </w:t>
            </w:r>
            <w:r>
              <w:rPr>
                <w:sz w:val="22"/>
                <w:szCs w:val="22"/>
              </w:rPr>
              <w:t>nominations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340" w:type="dxa"/>
          </w:tcPr>
          <w:p w14:paraId="757C3C20" w14:textId="5787C53C" w:rsidR="00E21240" w:rsidRPr="00F20A30" w:rsidRDefault="00E21240" w:rsidP="00E21240">
            <w:pPr>
              <w:pStyle w:val="Location"/>
              <w:rPr>
                <w:szCs w:val="24"/>
              </w:rPr>
            </w:pPr>
          </w:p>
        </w:tc>
      </w:tr>
      <w:tr w:rsidR="00FC7B07" w:rsidRPr="00F20A30" w14:paraId="6AA87210" w14:textId="77777777" w:rsidTr="00FC7B07">
        <w:trPr>
          <w:trHeight w:val="1440"/>
          <w:jc w:val="center"/>
        </w:trPr>
        <w:tc>
          <w:tcPr>
            <w:tcW w:w="1530" w:type="dxa"/>
          </w:tcPr>
          <w:p w14:paraId="4D71AACC" w14:textId="77777777" w:rsidR="00E21240" w:rsidRPr="00F20A30" w:rsidRDefault="00E21240" w:rsidP="00E21240">
            <w:pPr>
              <w:ind w:left="0"/>
              <w:rPr>
                <w:szCs w:val="24"/>
              </w:rPr>
            </w:pPr>
          </w:p>
        </w:tc>
        <w:tc>
          <w:tcPr>
            <w:tcW w:w="2700" w:type="dxa"/>
          </w:tcPr>
          <w:p w14:paraId="1CB2312C" w14:textId="15D3F98F" w:rsidR="00E21240" w:rsidRPr="00F20A30" w:rsidRDefault="000F7210" w:rsidP="00E21240">
            <w:pPr>
              <w:pStyle w:val="MeetingTimes"/>
              <w:rPr>
                <w:szCs w:val="24"/>
              </w:rPr>
            </w:pPr>
            <w:r>
              <w:rPr>
                <w:szCs w:val="24"/>
              </w:rPr>
              <w:t>PD Committee</w:t>
            </w:r>
          </w:p>
        </w:tc>
        <w:tc>
          <w:tcPr>
            <w:tcW w:w="7380" w:type="dxa"/>
          </w:tcPr>
          <w:p w14:paraId="468CCA5A" w14:textId="77777777" w:rsidR="002839AB" w:rsidRPr="00F20A30" w:rsidRDefault="002839AB" w:rsidP="00E21240">
            <w:pPr>
              <w:pStyle w:val="ItemDescription"/>
              <w:rPr>
                <w:szCs w:val="24"/>
              </w:rPr>
            </w:pPr>
          </w:p>
          <w:p w14:paraId="7B152F63" w14:textId="0159CACD" w:rsidR="000F7210" w:rsidRPr="003472F0" w:rsidRDefault="000F7210" w:rsidP="000F7210">
            <w:pPr>
              <w:pStyle w:val="ItemDescription"/>
              <w:rPr>
                <w:sz w:val="22"/>
                <w:szCs w:val="22"/>
              </w:rPr>
            </w:pPr>
            <w:r w:rsidRPr="003472F0">
              <w:rPr>
                <w:sz w:val="22"/>
                <w:szCs w:val="22"/>
              </w:rPr>
              <w:t>Will be resuming meetings this Wednesday.</w:t>
            </w:r>
            <w:r>
              <w:rPr>
                <w:sz w:val="22"/>
                <w:szCs w:val="22"/>
              </w:rPr>
              <w:t xml:space="preserve">  See eblast for upcoming trainings.  Please start submitting ideas for Fall PD Week; particularly, needing evening offerings.  Plan to have headshots and wayfinding tour.  Dual enrollment and part-time onboarding to occur in the evening.  </w:t>
            </w:r>
          </w:p>
        </w:tc>
        <w:tc>
          <w:tcPr>
            <w:tcW w:w="2340" w:type="dxa"/>
          </w:tcPr>
          <w:p w14:paraId="76C7D0F6" w14:textId="3C91D49E" w:rsidR="00E21240" w:rsidRPr="00F20A30" w:rsidRDefault="00E21240" w:rsidP="00E21240">
            <w:pPr>
              <w:pStyle w:val="Location"/>
              <w:rPr>
                <w:szCs w:val="24"/>
              </w:rPr>
            </w:pPr>
          </w:p>
        </w:tc>
      </w:tr>
    </w:tbl>
    <w:p w14:paraId="51527FEC" w14:textId="647B5210" w:rsidR="00A66B18" w:rsidRPr="00F20A30" w:rsidRDefault="00A66B18" w:rsidP="00E21240">
      <w:pPr>
        <w:rPr>
          <w:szCs w:val="24"/>
        </w:rPr>
      </w:pPr>
    </w:p>
    <w:sectPr w:rsidR="00A66B18" w:rsidRPr="00F20A30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409F" w14:textId="77777777" w:rsidR="00BC13FE" w:rsidRDefault="00BC13FE" w:rsidP="00A66B18">
      <w:pPr>
        <w:spacing w:before="0" w:after="0"/>
      </w:pPr>
      <w:r>
        <w:separator/>
      </w:r>
    </w:p>
  </w:endnote>
  <w:endnote w:type="continuationSeparator" w:id="0">
    <w:p w14:paraId="6DA8AEBA" w14:textId="77777777" w:rsidR="00BC13FE" w:rsidRDefault="00BC13F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25C7" w14:textId="77777777" w:rsidR="00BC13FE" w:rsidRDefault="00BC13FE" w:rsidP="00A66B18">
      <w:pPr>
        <w:spacing w:before="0" w:after="0"/>
      </w:pPr>
      <w:r>
        <w:separator/>
      </w:r>
    </w:p>
  </w:footnote>
  <w:footnote w:type="continuationSeparator" w:id="0">
    <w:p w14:paraId="59A70521" w14:textId="77777777" w:rsidR="00BC13FE" w:rsidRDefault="00BC13FE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05E5D"/>
    <w:multiLevelType w:val="hybridMultilevel"/>
    <w:tmpl w:val="AF5C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2643A"/>
    <w:multiLevelType w:val="hybridMultilevel"/>
    <w:tmpl w:val="8E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71A7"/>
    <w:multiLevelType w:val="multilevel"/>
    <w:tmpl w:val="EBD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134282">
    <w:abstractNumId w:val="2"/>
  </w:num>
  <w:num w:numId="2" w16cid:durableId="1713265527">
    <w:abstractNumId w:val="0"/>
  </w:num>
  <w:num w:numId="3" w16cid:durableId="21138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98"/>
    <w:rsid w:val="000416A9"/>
    <w:rsid w:val="00083BAA"/>
    <w:rsid w:val="000F7210"/>
    <w:rsid w:val="0010680C"/>
    <w:rsid w:val="0012351F"/>
    <w:rsid w:val="00160DBF"/>
    <w:rsid w:val="001766D6"/>
    <w:rsid w:val="001B67E7"/>
    <w:rsid w:val="001E2320"/>
    <w:rsid w:val="00214E28"/>
    <w:rsid w:val="00264EFA"/>
    <w:rsid w:val="002839AB"/>
    <w:rsid w:val="00323C56"/>
    <w:rsid w:val="003472F0"/>
    <w:rsid w:val="00352B81"/>
    <w:rsid w:val="003A0150"/>
    <w:rsid w:val="003E24DF"/>
    <w:rsid w:val="0041428F"/>
    <w:rsid w:val="004A2B0D"/>
    <w:rsid w:val="00594ED1"/>
    <w:rsid w:val="005C2210"/>
    <w:rsid w:val="005D7940"/>
    <w:rsid w:val="00615018"/>
    <w:rsid w:val="0062123A"/>
    <w:rsid w:val="00646E75"/>
    <w:rsid w:val="006F6F10"/>
    <w:rsid w:val="0076250B"/>
    <w:rsid w:val="00783E79"/>
    <w:rsid w:val="007B5AE8"/>
    <w:rsid w:val="007C526D"/>
    <w:rsid w:val="007E7F36"/>
    <w:rsid w:val="007F5192"/>
    <w:rsid w:val="00806602"/>
    <w:rsid w:val="008A1998"/>
    <w:rsid w:val="00910D6C"/>
    <w:rsid w:val="009D6E13"/>
    <w:rsid w:val="00A66B18"/>
    <w:rsid w:val="00A6783B"/>
    <w:rsid w:val="00A96CF8"/>
    <w:rsid w:val="00AC340E"/>
    <w:rsid w:val="00AE1388"/>
    <w:rsid w:val="00AF3982"/>
    <w:rsid w:val="00B46697"/>
    <w:rsid w:val="00B50294"/>
    <w:rsid w:val="00B57D6E"/>
    <w:rsid w:val="00BC13FE"/>
    <w:rsid w:val="00BD5D7B"/>
    <w:rsid w:val="00C26DFC"/>
    <w:rsid w:val="00C3212C"/>
    <w:rsid w:val="00C701F7"/>
    <w:rsid w:val="00C70786"/>
    <w:rsid w:val="00D41084"/>
    <w:rsid w:val="00D66593"/>
    <w:rsid w:val="00DE6DA2"/>
    <w:rsid w:val="00DF2D30"/>
    <w:rsid w:val="00E21240"/>
    <w:rsid w:val="00E22A3E"/>
    <w:rsid w:val="00E306D1"/>
    <w:rsid w:val="00E317D5"/>
    <w:rsid w:val="00E55D74"/>
    <w:rsid w:val="00E6540C"/>
    <w:rsid w:val="00E81E2A"/>
    <w:rsid w:val="00EE0952"/>
    <w:rsid w:val="00F20A30"/>
    <w:rsid w:val="00FC56BA"/>
    <w:rsid w:val="00FC7B07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7326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berlychamberlain/Library/Containers/com.microsoft.Word/Data/Library/Application%20Support/Microsoft/Office/16.0/DTS/Search/%7b4FE30DCD-F365-D44D-9960-5D7EDDA32C9F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HNYXMCCMVK3K-464-897</_dlc_DocId>
    <_dlc_DocIdUrl xmlns="431189f8-a51b-453f-9f0c-3a0b3b65b12f">
      <Url>https://www.sac.edu/President/AcademicSenate/_layouts/15/DocIdRedir.aspx?ID=HNYXMCCMVK3K-464-897</Url>
      <Description>HNYXMCCMVK3K-464-897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01079-920D-4EC0-AE04-0B41310FEC9B}"/>
</file>

<file path=customXml/itemProps4.xml><?xml version="1.0" encoding="utf-8"?>
<ds:datastoreItem xmlns:ds="http://schemas.openxmlformats.org/officeDocument/2006/customXml" ds:itemID="{FF2679AE-1390-4E09-9343-594D7856E7F6}"/>
</file>

<file path=docProps/app.xml><?xml version="1.0" encoding="utf-8"?>
<Properties xmlns="http://schemas.openxmlformats.org/officeDocument/2006/extended-properties" xmlns:vt="http://schemas.openxmlformats.org/officeDocument/2006/docPropsVTypes">
  <Template>{4FE30DCD-F365-D44D-9960-5D7EDDA32C9F}tf55871247_win32.dotx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2024-03-26T20:57:00Z</dcterms:created>
  <dcterms:modified xsi:type="dcterms:W3CDTF">2024-03-26T21:02:00Z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c1b1d1ce-24be-4f30-ab78-3bd5a6335535</vt:lpwstr>
  </property>
</Properties>
</file>